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widowControl w:val="false"/>
        <w:spacing w:lineRule="auto" w:line="240" w:before="120" w:after="120"/>
        <w:jc w:val="center"/>
        <w:rPr>
          <w:rFonts w:ascii="Arial" w:hAnsi="Arial" w:eastAsia="Times New Roman" w:cs="Arial"/>
          <w:b/>
          <w:b/>
          <w:sz w:val="28"/>
          <w:szCs w:val="20"/>
        </w:rPr>
      </w:pPr>
      <w:r>
        <w:rPr>
          <w:rFonts w:eastAsia="Times New Roman" w:cs="Arial" w:ascii="Arial" w:hAnsi="Arial"/>
          <w:b/>
          <w:sz w:val="28"/>
          <w:szCs w:val="20"/>
        </w:rPr>
        <w:t>Scheda informativa n. 14.1</w:t>
      </w:r>
    </w:p>
    <w:p>
      <w:pPr>
        <w:pStyle w:val="Normal"/>
        <w:widowControl w:val="false"/>
        <w:spacing w:lineRule="auto" w:line="240" w:before="120" w:after="120"/>
        <w:jc w:val="center"/>
        <w:rPr>
          <w:rFonts w:ascii="Arial" w:hAnsi="Arial" w:eastAsia="Times New Roman" w:cs="Arial"/>
          <w:b/>
          <w:b/>
          <w:sz w:val="32"/>
          <w:szCs w:val="20"/>
        </w:rPr>
      </w:pPr>
      <w:r>
        <w:rPr>
          <w:rFonts w:eastAsia="Times New Roman" w:cs="Arial" w:ascii="Arial" w:hAnsi="Arial"/>
          <w:b/>
          <w:sz w:val="32"/>
          <w:szCs w:val="20"/>
        </w:rPr>
        <w:t>Locali di stallaggio</w:t>
      </w:r>
    </w:p>
    <w:p>
      <w:pPr>
        <w:pStyle w:val="Normal"/>
        <w:widowControl w:val="false"/>
        <w:spacing w:lineRule="auto" w:line="240" w:before="240" w:after="240"/>
        <w:jc w:val="both"/>
        <w:rPr>
          <w:rFonts w:ascii="Arial" w:hAnsi="Arial" w:eastAsia="Times New Roman" w:cs="Arial"/>
          <w:b/>
          <w:b/>
          <w:sz w:val="20"/>
          <w:szCs w:val="20"/>
          <w:lang w:eastAsia="it-IT"/>
        </w:rPr>
      </w:pPr>
      <w:r>
        <w:rPr>
          <w:rFonts w:eastAsia="Times New Roman" w:cs="Arial" w:ascii="Arial" w:hAnsi="Arial"/>
          <w:b/>
          <w:sz w:val="20"/>
          <w:szCs w:val="20"/>
          <w:lang w:eastAsia="it-IT"/>
        </w:rPr>
        <w:t xml:space="preserve">TIPOLOGIE DI PRATICHE: </w:t>
      </w:r>
    </w:p>
    <w:p>
      <w:pPr>
        <w:pStyle w:val="Normal"/>
        <w:widowControl w:val="false"/>
        <w:spacing w:lineRule="auto" w:line="240" w:before="120" w:after="120"/>
        <w:jc w:val="both"/>
        <w:rPr/>
      </w:pPr>
      <w:r>
        <w:rPr>
          <w:rFonts w:eastAsia="Times New Roman" w:cs="Arial" w:ascii="Arial" w:hAnsi="Arial"/>
          <w:b/>
          <w:sz w:val="20"/>
          <w:szCs w:val="20"/>
          <w:lang w:eastAsia="it-IT"/>
        </w:rPr>
        <w:t xml:space="preserve">Le tipologie </w:t>
      </w:r>
      <w:r>
        <w:rPr>
          <w:rFonts w:eastAsia="Times New Roman" w:cs="Arial" w:ascii="Arial" w:hAnsi="Arial"/>
          <w:sz w:val="20"/>
          <w:szCs w:val="20"/>
          <w:lang w:eastAsia="it-IT"/>
        </w:rPr>
        <w:t>di pratiche in cui si articola l’attività di stallaggio sono le seguenti:</w:t>
      </w:r>
    </w:p>
    <w:p>
      <w:pPr>
        <w:pStyle w:val="Normal"/>
        <w:widowControl w:val="false"/>
        <w:numPr>
          <w:ilvl w:val="0"/>
          <w:numId w:val="3"/>
        </w:numPr>
        <w:suppressAutoHyphens w:val="false"/>
        <w:spacing w:lineRule="auto" w:line="240" w:before="120" w:after="120"/>
        <w:ind w:left="720" w:hanging="357"/>
        <w:jc w:val="both"/>
        <w:rPr/>
      </w:pPr>
      <w:r>
        <w:rPr>
          <w:rFonts w:eastAsia="Times New Roman" w:cs="Arial" w:ascii="Arial" w:hAnsi="Arial"/>
          <w:sz w:val="20"/>
          <w:szCs w:val="20"/>
          <w:lang w:eastAsia="it-IT"/>
        </w:rPr>
        <w:t>avvio dell’attività;</w:t>
      </w:r>
    </w:p>
    <w:p>
      <w:pPr>
        <w:pStyle w:val="Normal"/>
        <w:widowControl w:val="false"/>
        <w:numPr>
          <w:ilvl w:val="0"/>
          <w:numId w:val="3"/>
        </w:numPr>
        <w:suppressAutoHyphens w:val="false"/>
        <w:spacing w:lineRule="auto" w:line="240" w:before="120" w:after="120"/>
        <w:ind w:left="720" w:hanging="357"/>
        <w:jc w:val="both"/>
        <w:rPr>
          <w:rFonts w:ascii="Arial" w:hAnsi="Arial" w:eastAsia="Times New Roman" w:cs="Arial"/>
          <w:sz w:val="20"/>
          <w:szCs w:val="20"/>
          <w:lang w:eastAsia="it-IT"/>
        </w:rPr>
      </w:pPr>
      <w:r>
        <w:rPr>
          <w:rFonts w:eastAsia="Times New Roman" w:cs="Arial" w:ascii="Arial" w:hAnsi="Arial"/>
          <w:sz w:val="20"/>
          <w:szCs w:val="20"/>
          <w:lang w:eastAsia="it-IT"/>
        </w:rPr>
        <w:t>subingresso;</w:t>
      </w:r>
    </w:p>
    <w:p>
      <w:pPr>
        <w:pStyle w:val="Normal"/>
        <w:widowControl w:val="false"/>
        <w:numPr>
          <w:ilvl w:val="0"/>
          <w:numId w:val="3"/>
        </w:numPr>
        <w:suppressAutoHyphens w:val="false"/>
        <w:spacing w:lineRule="auto" w:line="240" w:before="120" w:after="120"/>
        <w:ind w:left="720" w:hanging="357"/>
        <w:jc w:val="both"/>
        <w:rPr>
          <w:rFonts w:ascii="Arial" w:hAnsi="Arial" w:eastAsia="Times New Roman" w:cs="Arial"/>
          <w:sz w:val="20"/>
          <w:szCs w:val="20"/>
          <w:lang w:eastAsia="it-IT"/>
        </w:rPr>
      </w:pPr>
      <w:r>
        <w:rPr>
          <w:rFonts w:eastAsia="Times New Roman" w:cs="Arial" w:ascii="Arial" w:hAnsi="Arial"/>
          <w:sz w:val="20"/>
          <w:szCs w:val="20"/>
          <w:lang w:eastAsia="it-IT"/>
        </w:rPr>
        <w:t>cessazione dell’attività.</w:t>
      </w:r>
    </w:p>
    <w:p>
      <w:pPr>
        <w:pStyle w:val="Normal"/>
        <w:widowControl w:val="false"/>
        <w:spacing w:lineRule="auto" w:line="240" w:before="240" w:after="240"/>
        <w:jc w:val="both"/>
        <w:rPr>
          <w:rFonts w:ascii="Arial" w:hAnsi="Arial" w:eastAsia="Times New Roman" w:cs="Arial"/>
          <w:b/>
          <w:b/>
          <w:sz w:val="20"/>
          <w:szCs w:val="20"/>
        </w:rPr>
      </w:pPr>
      <w:r>
        <w:rPr>
          <w:rFonts w:eastAsia="Times New Roman" w:cs="Arial" w:ascii="Arial" w:hAnsi="Arial"/>
          <w:b/>
          <w:sz w:val="20"/>
          <w:szCs w:val="20"/>
        </w:rPr>
        <w:t>DESTINATARI</w:t>
      </w:r>
    </w:p>
    <w:p>
      <w:pPr>
        <w:pStyle w:val="Normal"/>
        <w:shd w:fill="FFFFFF" w:val="clear"/>
        <w:suppressAutoHyphens w:val="false"/>
        <w:spacing w:lineRule="auto" w:line="240" w:before="120" w:after="120"/>
        <w:jc w:val="both"/>
        <w:rPr>
          <w:rFonts w:ascii="Arial" w:hAnsi="Arial" w:eastAsia="Times New Roman" w:cs="Arial"/>
          <w:bCs/>
          <w:sz w:val="20"/>
          <w:szCs w:val="20"/>
          <w:lang w:eastAsia="it-IT"/>
        </w:rPr>
      </w:pPr>
      <w:r>
        <w:rPr>
          <w:rFonts w:eastAsia="Times New Roman" w:cs="Arial" w:ascii="Arial" w:hAnsi="Arial"/>
          <w:sz w:val="20"/>
          <w:szCs w:val="20"/>
          <w:lang w:eastAsia="it-IT"/>
        </w:rPr>
        <w:t>Imprese che intendono avviare attività di stallaggio.</w:t>
      </w:r>
    </w:p>
    <w:p>
      <w:pPr>
        <w:pStyle w:val="Normal"/>
        <w:widowControl w:val="false"/>
        <w:spacing w:lineRule="auto" w:line="240" w:before="240" w:after="240"/>
        <w:jc w:val="both"/>
        <w:rPr>
          <w:rFonts w:ascii="Arial" w:hAnsi="Arial" w:eastAsia="Times New Roman" w:cs="Arial"/>
          <w:b/>
          <w:b/>
          <w:sz w:val="20"/>
          <w:szCs w:val="20"/>
        </w:rPr>
      </w:pPr>
      <w:r>
        <w:rPr>
          <w:rFonts w:eastAsia="Times New Roman" w:cs="Arial" w:ascii="Arial" w:hAnsi="Arial"/>
          <w:b/>
          <w:sz w:val="20"/>
          <w:szCs w:val="20"/>
        </w:rPr>
        <w:t>DESCRIZIONE</w:t>
      </w:r>
    </w:p>
    <w:p>
      <w:pPr>
        <w:pStyle w:val="Normal"/>
        <w:spacing w:lineRule="auto" w:line="240" w:before="120" w:after="120"/>
        <w:jc w:val="both"/>
        <w:rPr/>
      </w:pPr>
      <w:r>
        <w:rPr>
          <w:rFonts w:eastAsia="Times New Roman" w:cs="Arial" w:ascii="Arial" w:hAnsi="Arial"/>
          <w:sz w:val="20"/>
          <w:szCs w:val="20"/>
          <w:lang w:eastAsia="it-IT"/>
        </w:rPr>
        <w:t>Per attività di stallaggio si intende il servizio di ricovero di animali, permanente o temporaneo, di proprietà del titolare o di terzi (ad es. maneggio o scuderia, pensione per animali, etc.).</w:t>
      </w:r>
    </w:p>
    <w:p>
      <w:pPr>
        <w:pStyle w:val="Normal"/>
        <w:widowControl w:val="false"/>
        <w:spacing w:lineRule="auto" w:line="240" w:before="240" w:after="240"/>
        <w:jc w:val="both"/>
        <w:rPr>
          <w:rFonts w:ascii="Arial" w:hAnsi="Arial" w:eastAsia="Times New Roman" w:cs="Arial"/>
          <w:sz w:val="20"/>
          <w:szCs w:val="20"/>
          <w:lang w:eastAsia="it-IT"/>
        </w:rPr>
      </w:pPr>
      <w:r>
        <w:rPr>
          <w:rFonts w:eastAsia="Times New Roman" w:cs="Arial" w:ascii="Arial" w:hAnsi="Arial"/>
          <w:b/>
          <w:sz w:val="20"/>
          <w:szCs w:val="20"/>
          <w:lang w:eastAsia="it-IT"/>
        </w:rPr>
        <w:t>NORMATIVA DI RIFERIMENTO</w:t>
      </w:r>
    </w:p>
    <w:p>
      <w:pPr>
        <w:pStyle w:val="Normal"/>
        <w:widowControl w:val="false"/>
        <w:numPr>
          <w:ilvl w:val="0"/>
          <w:numId w:val="5"/>
        </w:numPr>
        <w:suppressAutoHyphens w:val="false"/>
        <w:spacing w:lineRule="auto" w:line="240" w:before="100" w:after="100"/>
        <w:ind w:left="720" w:hanging="357"/>
        <w:jc w:val="both"/>
        <w:rPr>
          <w:rFonts w:ascii="Arial" w:hAnsi="Arial" w:eastAsia="Times New Roman" w:cs="Arial"/>
          <w:bCs/>
          <w:sz w:val="20"/>
          <w:szCs w:val="20"/>
          <w:lang w:eastAsia="it-IT"/>
        </w:rPr>
      </w:pPr>
      <w:r>
        <w:rPr>
          <w:rFonts w:eastAsia="Times New Roman" w:cs="Arial" w:ascii="Arial" w:hAnsi="Arial"/>
          <w:bCs/>
          <w:sz w:val="20"/>
          <w:szCs w:val="20"/>
          <w:lang w:eastAsia="it-IT"/>
        </w:rPr>
        <w:t>Testo Unico delle Leggi di Pubblica Sicurezza (R.D. n. 773/1931)</w:t>
      </w:r>
      <w:bookmarkStart w:id="0" w:name="inizio"/>
      <w:bookmarkEnd w:id="0"/>
      <w:r>
        <w:rPr>
          <w:rFonts w:eastAsia="Times New Roman" w:cs="Arial" w:ascii="Arial" w:hAnsi="Arial"/>
          <w:bCs/>
          <w:sz w:val="20"/>
          <w:szCs w:val="20"/>
          <w:lang w:eastAsia="it-IT"/>
        </w:rPr>
        <w:t>;</w:t>
      </w:r>
    </w:p>
    <w:p>
      <w:pPr>
        <w:pStyle w:val="Normal"/>
        <w:widowControl w:val="false"/>
        <w:numPr>
          <w:ilvl w:val="0"/>
          <w:numId w:val="5"/>
        </w:numPr>
        <w:suppressAutoHyphens w:val="false"/>
        <w:spacing w:lineRule="auto" w:line="240" w:before="100" w:after="100"/>
        <w:ind w:left="720" w:hanging="357"/>
        <w:jc w:val="both"/>
        <w:rPr/>
      </w:pPr>
      <w:r>
        <w:rPr>
          <w:rFonts w:eastAsia="Times New Roman" w:cs="Arial" w:ascii="Arial" w:hAnsi="Arial"/>
          <w:bCs/>
          <w:sz w:val="20"/>
          <w:szCs w:val="20"/>
          <w:lang w:eastAsia="it-IT"/>
        </w:rPr>
        <w:t>Regolamento per l’esecuzione del T.U.L.P.S. (R.D. n. 635/1940);</w:t>
      </w:r>
    </w:p>
    <w:p>
      <w:pPr>
        <w:pStyle w:val="Normal"/>
        <w:widowControl w:val="false"/>
        <w:numPr>
          <w:ilvl w:val="0"/>
          <w:numId w:val="5"/>
        </w:numPr>
        <w:suppressAutoHyphens w:val="false"/>
        <w:spacing w:lineRule="auto" w:line="240" w:before="100" w:after="100"/>
        <w:ind w:left="720" w:hanging="357"/>
        <w:jc w:val="both"/>
        <w:rPr>
          <w:rFonts w:ascii="Arial" w:hAnsi="Arial" w:eastAsia="Times New Roman" w:cs="Arial"/>
          <w:bCs/>
          <w:sz w:val="20"/>
          <w:szCs w:val="20"/>
          <w:lang w:eastAsia="it-IT"/>
        </w:rPr>
      </w:pPr>
      <w:r>
        <w:rPr>
          <w:rFonts w:eastAsia="Times New Roman" w:cs="Arial" w:ascii="Arial" w:hAnsi="Arial"/>
          <w:bCs/>
          <w:sz w:val="20"/>
          <w:szCs w:val="20"/>
          <w:lang w:eastAsia="it-IT"/>
        </w:rPr>
        <w:t>D.P.R. n. 616/1977;</w:t>
      </w:r>
    </w:p>
    <w:p>
      <w:pPr>
        <w:pStyle w:val="Normal"/>
        <w:widowControl w:val="false"/>
        <w:numPr>
          <w:ilvl w:val="0"/>
          <w:numId w:val="2"/>
        </w:numPr>
        <w:shd w:fill="FFFFFF" w:val="clear"/>
        <w:suppressAutoHyphens w:val="false"/>
        <w:spacing w:lineRule="auto" w:line="240" w:before="100" w:after="100"/>
        <w:ind w:left="720" w:hanging="357"/>
        <w:jc w:val="both"/>
        <w:rPr>
          <w:rFonts w:ascii="Arial" w:hAnsi="Arial" w:eastAsia="Times New Roman" w:cs="Arial"/>
          <w:sz w:val="20"/>
          <w:szCs w:val="20"/>
          <w:lang w:eastAsia="it-IT"/>
        </w:rPr>
      </w:pPr>
      <w:r>
        <w:rPr>
          <w:rFonts w:eastAsia="Times New Roman" w:cs="Arial" w:ascii="Arial" w:hAnsi="Arial"/>
          <w:sz w:val="20"/>
          <w:szCs w:val="20"/>
          <w:lang w:eastAsia="it-IT"/>
        </w:rPr>
        <w:t>Legge n. 241/1990; D.lgs. n. 126/2016; D.lgs. n. 222/2016;</w:t>
      </w:r>
    </w:p>
    <w:p>
      <w:pPr>
        <w:pStyle w:val="Normal"/>
        <w:widowControl w:val="false"/>
        <w:numPr>
          <w:ilvl w:val="0"/>
          <w:numId w:val="2"/>
        </w:numPr>
        <w:shd w:fill="FFFFFF" w:val="clear"/>
        <w:suppressAutoHyphens w:val="false"/>
        <w:spacing w:lineRule="auto" w:line="240" w:before="100" w:after="100"/>
        <w:ind w:left="720" w:hanging="357"/>
        <w:jc w:val="both"/>
        <w:rPr/>
      </w:pPr>
      <w:r>
        <w:rPr>
          <w:rFonts w:cs="Arial" w:ascii="Arial" w:hAnsi="Arial"/>
          <w:sz w:val="20"/>
          <w:szCs w:val="20"/>
        </w:rPr>
        <w:t>D.lgs.</w:t>
      </w:r>
      <w:r>
        <w:rPr>
          <w:rFonts w:eastAsia="Times New Roman" w:cs="Arial" w:ascii="Arial" w:hAnsi="Arial"/>
          <w:sz w:val="20"/>
          <w:szCs w:val="20"/>
          <w:lang w:eastAsia="it-IT"/>
        </w:rPr>
        <w:t xml:space="preserve"> n. 159/2011 “</w:t>
      </w:r>
      <w:r>
        <w:rPr>
          <w:rFonts w:eastAsia="Times New Roman" w:cs="Arial" w:ascii="Arial" w:hAnsi="Arial"/>
          <w:i/>
          <w:sz w:val="20"/>
          <w:szCs w:val="20"/>
          <w:lang w:eastAsia="it-IT"/>
        </w:rPr>
        <w:t>Codice delle leggi antimafia e delle misure di prevenzione…</w:t>
      </w:r>
      <w:r>
        <w:rPr>
          <w:rFonts w:eastAsia="Times New Roman" w:cs="Arial" w:ascii="Arial" w:hAnsi="Arial"/>
          <w:sz w:val="20"/>
          <w:szCs w:val="20"/>
          <w:lang w:eastAsia="it-IT"/>
        </w:rPr>
        <w:t>”.</w:t>
      </w:r>
    </w:p>
    <w:p>
      <w:pPr>
        <w:pStyle w:val="Normal"/>
        <w:widowControl w:val="false"/>
        <w:shd w:fill="FFFFFF" w:val="clear"/>
        <w:spacing w:lineRule="auto" w:line="240" w:before="240" w:after="240"/>
        <w:jc w:val="both"/>
        <w:rPr>
          <w:rFonts w:ascii="Arial" w:hAnsi="Arial" w:eastAsia="Times New Roman" w:cs="Arial"/>
          <w:b/>
          <w:b/>
          <w:sz w:val="20"/>
          <w:szCs w:val="20"/>
          <w:lang w:eastAsia="it-IT"/>
        </w:rPr>
      </w:pPr>
      <w:r>
        <w:rPr>
          <w:rFonts w:eastAsia="Times New Roman" w:cs="Arial" w:ascii="Arial" w:hAnsi="Arial"/>
          <w:b/>
          <w:sz w:val="20"/>
          <w:szCs w:val="20"/>
          <w:lang w:eastAsia="it-IT"/>
        </w:rPr>
        <w:t>ADEMPIMENTI E MODALITÀ DI AVVIO DELL’ATTIVITÀ</w:t>
      </w:r>
    </w:p>
    <w:p>
      <w:pPr>
        <w:pStyle w:val="Normal"/>
        <w:shd w:fill="FFFFFF" w:val="clear"/>
        <w:suppressAutoHyphens w:val="false"/>
        <w:spacing w:lineRule="auto" w:line="240" w:before="100" w:after="100"/>
        <w:rPr/>
      </w:pPr>
      <w:r>
        <w:rPr>
          <w:rFonts w:eastAsia="Times New Roman" w:cs="Arial" w:ascii="Arial" w:hAnsi="Arial"/>
          <w:sz w:val="20"/>
          <w:szCs w:val="20"/>
          <w:lang w:eastAsia="it-IT"/>
        </w:rPr>
        <w:t xml:space="preserve">Preliminarmente </w:t>
      </w:r>
      <w:r>
        <w:rPr>
          <w:rFonts w:eastAsia="Times New Roman" w:cs="Arial" w:ascii="Arial" w:hAnsi="Arial"/>
          <w:b/>
          <w:sz w:val="20"/>
          <w:szCs w:val="20"/>
          <w:lang w:eastAsia="it-IT"/>
        </w:rPr>
        <w:t>è necessario</w:t>
      </w:r>
      <w:r>
        <w:rPr>
          <w:rFonts w:eastAsia="Times New Roman" w:cs="Arial" w:ascii="Arial" w:hAnsi="Arial"/>
          <w:sz w:val="20"/>
          <w:szCs w:val="20"/>
          <w:lang w:eastAsia="it-IT"/>
        </w:rPr>
        <w:t>:</w:t>
      </w:r>
    </w:p>
    <w:p>
      <w:pPr>
        <w:pStyle w:val="Normal"/>
        <w:widowControl w:val="false"/>
        <w:numPr>
          <w:ilvl w:val="0"/>
          <w:numId w:val="1"/>
        </w:numPr>
        <w:shd w:fill="FFFFFF" w:val="clear"/>
        <w:suppressAutoHyphens w:val="false"/>
        <w:spacing w:lineRule="auto" w:line="240" w:before="100" w:after="100"/>
        <w:ind w:left="720" w:hanging="357"/>
        <w:jc w:val="both"/>
        <w:rPr/>
      </w:pPr>
      <w:r>
        <w:rPr>
          <w:rFonts w:eastAsia="Times New Roman" w:cs="Arial" w:ascii="Arial" w:hAnsi="Arial"/>
          <w:b/>
          <w:bCs/>
          <w:sz w:val="20"/>
          <w:szCs w:val="20"/>
          <w:lang w:eastAsia="it-IT"/>
        </w:rPr>
        <w:t>costituire una impresa</w:t>
      </w:r>
      <w:r>
        <w:rPr>
          <w:rFonts w:eastAsia="Times New Roman" w:cs="Arial" w:ascii="Arial" w:hAnsi="Arial"/>
          <w:bCs/>
          <w:sz w:val="20"/>
          <w:szCs w:val="20"/>
          <w:lang w:eastAsia="it-IT"/>
        </w:rPr>
        <w:t xml:space="preserve"> in forma individuale o societaria o cooperativa;</w:t>
      </w:r>
    </w:p>
    <w:p>
      <w:pPr>
        <w:pStyle w:val="Normal"/>
        <w:widowControl w:val="false"/>
        <w:numPr>
          <w:ilvl w:val="0"/>
          <w:numId w:val="1"/>
        </w:numPr>
        <w:shd w:fill="FFFFFF" w:val="clear"/>
        <w:suppressAutoHyphens w:val="false"/>
        <w:spacing w:lineRule="auto" w:line="240" w:before="100" w:after="100"/>
        <w:ind w:left="720" w:hanging="357"/>
        <w:jc w:val="both"/>
        <w:rPr>
          <w:rFonts w:ascii="Arial" w:hAnsi="Arial" w:eastAsia="Times New Roman" w:cs="Arial"/>
          <w:sz w:val="20"/>
          <w:szCs w:val="20"/>
          <w:lang w:eastAsia="it-IT"/>
        </w:rPr>
      </w:pPr>
      <w:r>
        <w:rPr>
          <w:rFonts w:eastAsia="Times New Roman" w:cs="Arial" w:ascii="Arial" w:hAnsi="Arial"/>
          <w:b/>
          <w:sz w:val="20"/>
          <w:szCs w:val="20"/>
          <w:lang w:eastAsia="it-IT"/>
        </w:rPr>
        <w:t>procedere all’iscrizione all’Albo delle Imprese</w:t>
      </w:r>
      <w:r>
        <w:rPr>
          <w:rFonts w:eastAsia="Times New Roman" w:cs="Arial" w:ascii="Arial" w:hAnsi="Arial"/>
          <w:sz w:val="20"/>
          <w:szCs w:val="20"/>
          <w:lang w:eastAsia="it-IT"/>
        </w:rPr>
        <w:t>.</w:t>
      </w:r>
    </w:p>
    <w:p>
      <w:pPr>
        <w:pStyle w:val="Normal"/>
        <w:shd w:fill="FFFFFF" w:val="clear"/>
        <w:spacing w:lineRule="auto" w:line="240" w:before="100" w:after="100"/>
        <w:jc w:val="both"/>
        <w:rPr>
          <w:rFonts w:ascii="Arial" w:hAnsi="Arial" w:eastAsia="Times New Roman" w:cs="Arial"/>
          <w:bCs/>
          <w:sz w:val="20"/>
          <w:szCs w:val="20"/>
          <w:lang w:eastAsia="it-IT"/>
        </w:rPr>
      </w:pPr>
      <w:r>
        <w:rPr>
          <w:rFonts w:eastAsia="Times New Roman" w:cs="Arial" w:ascii="Arial" w:hAnsi="Arial"/>
          <w:bCs/>
          <w:sz w:val="20"/>
          <w:szCs w:val="20"/>
          <w:lang w:eastAsia="it-IT"/>
        </w:rPr>
        <w:t>Ai sensi dell’art. 2, commi 2 e 4 del D.lgs. n. 126/2016:</w:t>
      </w:r>
    </w:p>
    <w:p>
      <w:pPr>
        <w:pStyle w:val="Normal"/>
        <w:widowControl w:val="false"/>
        <w:numPr>
          <w:ilvl w:val="0"/>
          <w:numId w:val="4"/>
        </w:numPr>
        <w:shd w:fill="FFFFFF" w:val="clear"/>
        <w:suppressAutoHyphens w:val="false"/>
        <w:spacing w:lineRule="auto" w:line="240" w:before="100" w:after="100"/>
        <w:jc w:val="both"/>
        <w:rPr/>
      </w:pPr>
      <w:r>
        <w:rPr>
          <w:rFonts w:eastAsia="Times New Roman" w:cs="Arial" w:ascii="Arial" w:hAnsi="Arial"/>
          <w:bCs/>
          <w:sz w:val="20"/>
          <w:szCs w:val="20"/>
          <w:lang w:eastAsia="it-IT"/>
        </w:rPr>
        <w:t>l</w:t>
      </w:r>
      <w:r>
        <w:rPr>
          <w:rFonts w:eastAsia="Times New Roman" w:cs="Arial" w:ascii="Arial" w:hAnsi="Arial"/>
          <w:sz w:val="20"/>
          <w:szCs w:val="20"/>
          <w:lang w:eastAsia="it-IT"/>
        </w:rPr>
        <w:t>’avvio dell’attività e le vicende successive sono subordinate alla</w:t>
      </w:r>
      <w:r>
        <w:rPr>
          <w:rFonts w:eastAsia="Times New Roman" w:cs="Arial" w:ascii="Arial" w:hAnsi="Arial"/>
          <w:bCs/>
          <w:sz w:val="20"/>
          <w:szCs w:val="20"/>
          <w:lang w:eastAsia="it-IT"/>
        </w:rPr>
        <w:t xml:space="preserve"> compilazione </w:t>
      </w:r>
      <w:r>
        <w:rPr>
          <w:rFonts w:eastAsia="Times New Roman" w:cs="Arial" w:ascii="Arial" w:hAnsi="Arial"/>
          <w:sz w:val="20"/>
          <w:szCs w:val="20"/>
          <w:lang w:eastAsia="it-IT"/>
        </w:rPr>
        <w:t xml:space="preserve">degli specifici moduli, </w:t>
      </w:r>
      <w:r>
        <w:rPr>
          <w:rFonts w:eastAsia="Times New Roman" w:cs="Arial" w:ascii="Arial" w:hAnsi="Arial"/>
          <w:bCs/>
          <w:sz w:val="20"/>
          <w:szCs w:val="20"/>
          <w:lang w:eastAsia="it-IT"/>
        </w:rPr>
        <w:t xml:space="preserve">disponibili </w:t>
      </w:r>
      <w:r>
        <w:rPr>
          <w:rFonts w:eastAsia="Times New Roman" w:cs="Arial" w:ascii="Arial" w:hAnsi="Arial"/>
          <w:b/>
          <w:bCs/>
          <w:sz w:val="20"/>
          <w:szCs w:val="20"/>
          <w:lang w:eastAsia="it-IT"/>
        </w:rPr>
        <w:t xml:space="preserve">sul sito istituzionale del Comune, da presentare esclusivamente in modalità telematica allo Sportello Unico </w:t>
      </w:r>
      <w:r>
        <w:rPr>
          <w:rFonts w:eastAsia="Times New Roman" w:cs="Arial" w:ascii="Arial" w:hAnsi="Arial"/>
          <w:bCs/>
          <w:sz w:val="20"/>
          <w:szCs w:val="20"/>
          <w:lang w:eastAsia="it-IT"/>
        </w:rPr>
        <w:t>del Comune stesso;</w:t>
      </w:r>
    </w:p>
    <w:p>
      <w:pPr>
        <w:pStyle w:val="Normal"/>
        <w:widowControl w:val="false"/>
        <w:numPr>
          <w:ilvl w:val="0"/>
          <w:numId w:val="4"/>
        </w:numPr>
        <w:shd w:fill="FFFFFF" w:val="clear"/>
        <w:suppressAutoHyphens w:val="false"/>
        <w:spacing w:lineRule="auto" w:line="240" w:before="100" w:after="100"/>
        <w:jc w:val="both"/>
        <w:rPr/>
      </w:pPr>
      <w:r>
        <w:rPr>
          <w:rFonts w:eastAsia="Times New Roman" w:cs="Arial" w:ascii="Arial" w:hAnsi="Arial"/>
          <w:bCs/>
          <w:sz w:val="20"/>
          <w:szCs w:val="20"/>
          <w:lang w:eastAsia="it-IT"/>
        </w:rPr>
        <w:t xml:space="preserve">il Comune può chiedere agli interessati informazioni/documenti </w:t>
      </w:r>
      <w:r>
        <w:rPr>
          <w:rFonts w:eastAsia="Times New Roman" w:cs="Arial" w:ascii="Arial" w:hAnsi="Arial"/>
          <w:b/>
          <w:bCs/>
          <w:sz w:val="20"/>
          <w:szCs w:val="20"/>
          <w:lang w:eastAsia="it-IT"/>
        </w:rPr>
        <w:t>solo in caso di mancata</w:t>
      </w:r>
      <w:r>
        <w:rPr>
          <w:rFonts w:eastAsia="Times New Roman" w:cs="Arial" w:ascii="Arial" w:hAnsi="Arial"/>
          <w:bCs/>
          <w:sz w:val="20"/>
          <w:szCs w:val="20"/>
          <w:lang w:eastAsia="it-IT"/>
        </w:rPr>
        <w:t xml:space="preserve"> </w:t>
      </w:r>
      <w:r>
        <w:rPr>
          <w:rFonts w:eastAsia="Times New Roman" w:cs="Arial" w:ascii="Arial" w:hAnsi="Arial"/>
          <w:b/>
          <w:bCs/>
          <w:sz w:val="20"/>
          <w:szCs w:val="20"/>
          <w:lang w:eastAsia="it-IT"/>
        </w:rPr>
        <w:t>corrispondenza del contenuto della Segnalazione/Comunicazione e relativi allegati, ai moduli ed elenchi</w:t>
      </w:r>
      <w:r>
        <w:rPr>
          <w:rFonts w:eastAsia="Times New Roman" w:cs="Arial" w:ascii="Arial" w:hAnsi="Arial"/>
          <w:bCs/>
          <w:sz w:val="20"/>
          <w:szCs w:val="20"/>
          <w:lang w:eastAsia="it-IT"/>
        </w:rPr>
        <w:t xml:space="preserve"> pubblicati sul proprio sito istituzionale.</w:t>
      </w:r>
    </w:p>
    <w:p>
      <w:pPr>
        <w:pStyle w:val="Normal"/>
        <w:widowControl w:val="false"/>
        <w:suppressAutoHyphens w:val="false"/>
        <w:spacing w:lineRule="auto" w:line="240" w:before="100" w:after="100"/>
        <w:jc w:val="both"/>
        <w:rPr/>
      </w:pPr>
      <w:r>
        <w:rPr>
          <w:rFonts w:eastAsia="Times New Roman" w:cs="Arial" w:ascii="Arial" w:hAnsi="Arial"/>
          <w:bCs/>
          <w:sz w:val="20"/>
          <w:szCs w:val="20"/>
          <w:lang w:eastAsia="it-IT"/>
        </w:rPr>
        <w:t>Qualora la Segnalazione/Comunicazione difetti degli elementi essenziali non potrà essere esaminata e, pertanto, sarà dichiarata irricevibile e archiviata.</w:t>
      </w:r>
    </w:p>
    <w:p>
      <w:pPr>
        <w:pStyle w:val="Normal"/>
        <w:widowControl w:val="false"/>
        <w:spacing w:lineRule="auto" w:line="240" w:before="240" w:after="240"/>
        <w:jc w:val="both"/>
        <w:rPr>
          <w:rFonts w:ascii="Arial" w:hAnsi="Arial" w:eastAsia="Times New Roman" w:cs="Arial"/>
          <w:bCs/>
          <w:sz w:val="20"/>
          <w:szCs w:val="20"/>
          <w:lang w:eastAsia="it-IT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it-IT"/>
        </w:rPr>
        <w:t>REGIME AMMINISTRATIVO E CONCENTRAZIONE DEI REGIMI AMMINISTRATIVI</w:t>
      </w:r>
    </w:p>
    <w:p>
      <w:pPr>
        <w:pStyle w:val="Normal"/>
        <w:widowControl w:val="false"/>
        <w:spacing w:lineRule="auto" w:line="240" w:before="120" w:after="120"/>
        <w:jc w:val="both"/>
        <w:rPr/>
      </w:pPr>
      <w:r>
        <w:rPr>
          <w:rFonts w:eastAsia="Times New Roman" w:cs="Arial" w:ascii="Arial" w:hAnsi="Arial"/>
          <w:bCs/>
          <w:sz w:val="20"/>
          <w:szCs w:val="20"/>
          <w:lang w:eastAsia="it-IT"/>
        </w:rPr>
        <w:t>Ai sensi dell’art. 19bis, L. n. 241/1990, la pratica deve essere presentata allo Sportello Unico del Comune, anche in caso di procedimenti connessi di competenza di altre amministrazioni o diverse articolazioni interne dell’amministrazione ricevente.</w:t>
      </w:r>
    </w:p>
    <w:p>
      <w:pPr>
        <w:pStyle w:val="Normal"/>
        <w:widowControl w:val="false"/>
        <w:spacing w:lineRule="auto" w:line="240" w:before="120" w:after="120"/>
        <w:jc w:val="both"/>
        <w:rPr/>
      </w:pPr>
      <w:r>
        <w:rPr/>
        <w:t>Per ciascuna tipologia di attività di cui alla presente Scheda informativa, la Tabella seguente illustra il regime amministrativo cui è soggetta, il regime amministrativo applicabile in caso di concentrazione con altre attività e i riferimenti normativi:</w:t>
      </w:r>
    </w:p>
    <w:tbl>
      <w:tblPr>
        <w:tblW w:w="98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439"/>
        <w:gridCol w:w="2334"/>
        <w:gridCol w:w="1961"/>
        <w:gridCol w:w="2518"/>
        <w:gridCol w:w="2611"/>
      </w:tblGrid>
      <w:tr>
        <w:trPr/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 w:val="true"/>
              <w:suppressAutoHyphens w:val="false"/>
              <w:snapToGrid w:val="false"/>
              <w:spacing w:lineRule="auto" w:line="240" w:before="100" w:after="100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it-IT"/>
              </w:rPr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 w:val="true"/>
              <w:suppressAutoHyphens w:val="false"/>
              <w:spacing w:lineRule="auto" w:line="240" w:before="100" w:after="100"/>
              <w:jc w:val="center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val="en-US"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it-IT"/>
              </w:rPr>
              <w:t>ATTIVITÀ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 w:val="true"/>
              <w:suppressAutoHyphens w:val="false"/>
              <w:spacing w:lineRule="auto" w:line="240" w:before="100" w:after="100"/>
              <w:jc w:val="center"/>
              <w:rPr/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it-IT"/>
              </w:rPr>
              <w:t>REGIME AMMINISTRATIVO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 w:val="true"/>
              <w:suppressAutoHyphens w:val="false"/>
              <w:spacing w:lineRule="auto" w:line="240" w:before="100" w:after="100"/>
              <w:jc w:val="center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val="en-US"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it-IT"/>
              </w:rPr>
              <w:t>CONCENTRAZIONE DEI REGIMI AMMINISTRATIVI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 w:val="true"/>
              <w:suppressAutoHyphens w:val="false"/>
              <w:spacing w:lineRule="auto" w:line="240" w:before="100" w:after="100"/>
              <w:jc w:val="center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it-IT"/>
              </w:rPr>
              <w:t>RIFERIMENTI NORMATIVI</w:t>
            </w:r>
          </w:p>
        </w:tc>
      </w:tr>
      <w:tr>
        <w:trPr>
          <w:trHeight w:val="218" w:hRule="atLeast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00" w:after="100"/>
              <w:jc w:val="center"/>
              <w:rPr>
                <w:rFonts w:ascii="Arial" w:hAnsi="Arial" w:eastAsia="Times New Roman" w:cs="Arial"/>
                <w:bCs/>
                <w:sz w:val="20"/>
                <w:szCs w:val="20"/>
                <w:lang w:val="en-US"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it-IT"/>
              </w:rPr>
              <w:t>96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00" w:after="100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it-IT"/>
              </w:rPr>
              <w:t>Avvio dell’attività</w:t>
            </w:r>
            <w:r>
              <w:rPr>
                <w:rFonts w:eastAsia="Times New Roman" w:cs="Arial" w:ascii="Arial" w:hAnsi="Arial"/>
                <w:bCs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00" w:after="100"/>
              <w:jc w:val="center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it-IT"/>
              </w:rPr>
              <w:t>SCIA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00" w:after="100"/>
              <w:rPr>
                <w:rFonts w:ascii="Arial" w:hAnsi="Arial" w:eastAsia="Times New Roman" w:cs="Arial"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Cs/>
                <w:sz w:val="20"/>
                <w:szCs w:val="20"/>
                <w:lang w:eastAsia="it-IT"/>
              </w:rPr>
              <w:t>La SCIA svolge anche la funzione di autorizzazione per i fini di cui all’art. 86 TULPS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autoSpaceDE w:val="false"/>
              <w:spacing w:lineRule="auto" w:line="240" w:before="100" w:after="100"/>
              <w:rPr>
                <w:rFonts w:ascii="Arial" w:hAnsi="Arial" w:eastAsia="Times New Roman" w:cs="Arial"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Cs/>
                <w:sz w:val="20"/>
                <w:szCs w:val="20"/>
                <w:lang w:eastAsia="it-IT"/>
              </w:rPr>
              <w:t>Testo Unico delle Leggi di Pubblica Sicurezza di cui al R.D. n. 773/1931, art. 86, c.1, secondo periodo</w:t>
            </w:r>
          </w:p>
          <w:p>
            <w:pPr>
              <w:pStyle w:val="Normal"/>
              <w:suppressAutoHyphens w:val="false"/>
              <w:autoSpaceDE w:val="false"/>
              <w:spacing w:lineRule="auto" w:line="240" w:before="100" w:after="100"/>
              <w:rPr>
                <w:rFonts w:ascii="Arial" w:hAnsi="Arial" w:eastAsia="Times New Roman" w:cs="Arial"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Cs/>
                <w:sz w:val="20"/>
                <w:szCs w:val="20"/>
                <w:lang w:eastAsia="it-IT"/>
              </w:rPr>
              <w:t>D.P.R. n. 616/1977, art. 19, c.4</w:t>
            </w:r>
          </w:p>
        </w:tc>
      </w:tr>
      <w:tr>
        <w:trPr/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napToGrid w:val="false"/>
              <w:spacing w:lineRule="auto" w:line="240" w:before="100" w:after="100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it-IT"/>
              </w:rPr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00" w:after="100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it-IT"/>
              </w:rPr>
              <w:t>Subingresso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00" w:after="100"/>
              <w:jc w:val="center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it-IT"/>
              </w:rPr>
              <w:t>Comunicazione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napToGrid w:val="false"/>
              <w:spacing w:lineRule="auto" w:line="240" w:before="100" w:after="100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it-IT"/>
              </w:rPr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napToGrid w:val="false"/>
              <w:spacing w:lineRule="auto" w:line="240" w:before="100" w:after="100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it-IT"/>
              </w:rPr>
            </w:r>
          </w:p>
        </w:tc>
      </w:tr>
      <w:tr>
        <w:trPr/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napToGrid w:val="false"/>
              <w:spacing w:lineRule="auto" w:line="240" w:before="100" w:after="100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it-IT"/>
              </w:rPr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00" w:after="100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it-IT"/>
              </w:rPr>
              <w:t>Cessazione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00" w:after="100"/>
              <w:jc w:val="center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it-IT"/>
              </w:rPr>
              <w:t>Comunicazione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napToGrid w:val="false"/>
              <w:spacing w:lineRule="auto" w:line="240" w:before="100" w:after="100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it-IT"/>
              </w:rPr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napToGrid w:val="false"/>
              <w:spacing w:lineRule="auto" w:line="240" w:before="100" w:after="100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it-IT"/>
              </w:rPr>
            </w:r>
          </w:p>
        </w:tc>
      </w:tr>
    </w:tbl>
    <w:p>
      <w:pPr>
        <w:pStyle w:val="Normal"/>
        <w:shd w:fill="FFFFFF" w:val="clear"/>
        <w:suppressAutoHyphens w:val="false"/>
        <w:spacing w:lineRule="auto" w:line="240" w:before="240" w:after="120"/>
        <w:ind w:right="-142" w:hanging="0"/>
        <w:jc w:val="both"/>
        <w:rPr/>
      </w:pPr>
      <w:r>
        <w:rPr>
          <w:rFonts w:eastAsia="Times New Roman" w:cs="Arial" w:ascii="Arial" w:hAnsi="Arial"/>
          <w:b/>
          <w:bCs/>
          <w:sz w:val="20"/>
          <w:szCs w:val="20"/>
          <w:lang w:eastAsia="it-IT"/>
        </w:rPr>
        <w:t>Alla</w:t>
      </w:r>
      <w:r>
        <w:rPr>
          <w:rFonts w:eastAsia="Times New Roman" w:cs="Arial" w:ascii="Arial" w:hAnsi="Arial"/>
          <w:bCs/>
          <w:sz w:val="20"/>
          <w:szCs w:val="20"/>
          <w:lang w:eastAsia="it-IT"/>
        </w:rPr>
        <w:t xml:space="preserve"> </w:t>
      </w:r>
      <w:r>
        <w:rPr>
          <w:rFonts w:eastAsia="Times New Roman" w:cs="Arial" w:ascii="Arial" w:hAnsi="Arial"/>
          <w:b/>
          <w:bCs/>
          <w:sz w:val="20"/>
          <w:szCs w:val="20"/>
          <w:lang w:eastAsia="it-IT"/>
        </w:rPr>
        <w:t>presentazione</w:t>
      </w:r>
      <w:r>
        <w:rPr>
          <w:rFonts w:eastAsia="Times New Roman" w:cs="Arial" w:ascii="Arial" w:hAnsi="Arial"/>
          <w:bCs/>
          <w:sz w:val="20"/>
          <w:szCs w:val="20"/>
          <w:lang w:eastAsia="it-IT"/>
        </w:rPr>
        <w:t xml:space="preserve"> </w:t>
      </w:r>
      <w:r>
        <w:rPr>
          <w:rFonts w:eastAsia="Times New Roman" w:cs="Arial" w:ascii="Arial" w:hAnsi="Arial"/>
          <w:b/>
          <w:bCs/>
          <w:sz w:val="20"/>
          <w:szCs w:val="20"/>
          <w:lang w:eastAsia="it-IT"/>
        </w:rPr>
        <w:t>della Segnalazione/Comunicazione</w:t>
      </w:r>
      <w:r>
        <w:rPr>
          <w:rFonts w:eastAsia="Times New Roman" w:cs="Arial" w:ascii="Arial" w:hAnsi="Arial"/>
          <w:bCs/>
          <w:sz w:val="20"/>
          <w:szCs w:val="20"/>
          <w:lang w:eastAsia="it-IT"/>
        </w:rPr>
        <w:t xml:space="preserve"> </w:t>
      </w:r>
      <w:r>
        <w:rPr>
          <w:rFonts w:eastAsia="Times New Roman" w:cs="Arial" w:ascii="Arial" w:hAnsi="Arial"/>
          <w:b/>
          <w:bCs/>
          <w:sz w:val="20"/>
          <w:szCs w:val="20"/>
          <w:lang w:eastAsia="it-IT"/>
        </w:rPr>
        <w:t>è</w:t>
      </w:r>
      <w:r>
        <w:rPr>
          <w:rFonts w:eastAsia="Times New Roman" w:cs="Arial" w:ascii="Arial" w:hAnsi="Arial"/>
          <w:bCs/>
          <w:sz w:val="20"/>
          <w:szCs w:val="20"/>
          <w:lang w:eastAsia="it-IT"/>
        </w:rPr>
        <w:t xml:space="preserve"> </w:t>
      </w:r>
      <w:r>
        <w:rPr>
          <w:rFonts w:eastAsia="Times New Roman" w:cs="Arial" w:ascii="Arial" w:hAnsi="Arial"/>
          <w:b/>
          <w:bCs/>
          <w:sz w:val="20"/>
          <w:szCs w:val="20"/>
          <w:lang w:eastAsia="it-IT"/>
        </w:rPr>
        <w:t>rilasciata</w:t>
      </w:r>
      <w:r>
        <w:rPr>
          <w:rFonts w:eastAsia="Times New Roman" w:cs="Arial" w:ascii="Arial" w:hAnsi="Arial"/>
          <w:bCs/>
          <w:sz w:val="20"/>
          <w:szCs w:val="20"/>
          <w:lang w:eastAsia="it-IT"/>
        </w:rPr>
        <w:t xml:space="preserve"> </w:t>
      </w:r>
      <w:r>
        <w:rPr>
          <w:rFonts w:eastAsia="Times New Roman" w:cs="Arial" w:ascii="Arial" w:hAnsi="Arial"/>
          <w:b/>
          <w:bCs/>
          <w:sz w:val="20"/>
          <w:szCs w:val="20"/>
          <w:lang w:eastAsia="it-IT"/>
        </w:rPr>
        <w:t>immediatamente ricevuta</w:t>
      </w:r>
      <w:r>
        <w:rPr>
          <w:rFonts w:eastAsia="Times New Roman" w:cs="Arial" w:ascii="Arial" w:hAnsi="Arial"/>
          <w:bCs/>
          <w:sz w:val="20"/>
          <w:szCs w:val="20"/>
          <w:lang w:eastAsia="it-IT"/>
        </w:rPr>
        <w:t xml:space="preserve">, </w:t>
      </w:r>
      <w:r>
        <w:rPr>
          <w:rFonts w:eastAsia="Times New Roman" w:cs="Arial" w:ascii="Arial" w:hAnsi="Arial"/>
          <w:bCs/>
          <w:sz w:val="20"/>
          <w:szCs w:val="20"/>
          <w:highlight w:val="lightGray"/>
          <w:lang w:eastAsia="it-IT"/>
        </w:rPr>
        <w:t>anche in via telematica</w:t>
      </w:r>
      <w:r>
        <w:rPr>
          <w:rFonts w:eastAsia="Times New Roman" w:cs="Arial" w:ascii="Arial" w:hAnsi="Arial"/>
          <w:bCs/>
          <w:sz w:val="20"/>
          <w:szCs w:val="20"/>
          <w:lang w:eastAsia="it-IT"/>
        </w:rPr>
        <w:t>, la cui protocollazione coincide con l’effettiva presentazione da parte dell’interessato</w:t>
      </w:r>
      <w:r>
        <w:rPr>
          <w:rStyle w:val="FootnoteAnchor"/>
          <w:rFonts w:eastAsia="Times New Roman" w:cs="Arial" w:ascii="Arial" w:hAnsi="Arial"/>
          <w:bCs/>
          <w:sz w:val="20"/>
          <w:szCs w:val="20"/>
          <w:vertAlign w:val="superscript"/>
          <w:lang w:eastAsia="it-IT"/>
        </w:rPr>
        <w:footnoteReference w:id="2"/>
      </w:r>
      <w:r>
        <w:rPr>
          <w:rFonts w:eastAsia="Times New Roman" w:cs="Arial" w:ascii="Arial" w:hAnsi="Arial"/>
          <w:bCs/>
          <w:sz w:val="20"/>
          <w:szCs w:val="20"/>
          <w:lang w:eastAsia="it-IT"/>
        </w:rPr>
        <w:t>, con indicazione dei termini entro cui l’Amministrazione è tenuta, ove previsto, a rispondere o entro cui il silenzio equivale ad accoglimento dell’istanza. In caso di pratiche presentate ad ufficio diverso da quello competente, i termini dei controlli ex artt. 19, c.3, L. n. 241/90, decorrono dal loro ricevimento da parte dell’ufficio competente (art. 18-bis, L. n. 241/90).</w:t>
      </w:r>
    </w:p>
    <w:p>
      <w:pPr>
        <w:pStyle w:val="Normal"/>
        <w:widowControl w:val="false"/>
        <w:suppressAutoHyphens w:val="false"/>
        <w:spacing w:lineRule="auto" w:line="240" w:before="120" w:after="240"/>
        <w:jc w:val="both"/>
        <w:rPr>
          <w:rFonts w:cs="Arial"/>
        </w:rPr>
      </w:pPr>
      <w:r>
        <w:rPr>
          <w:rFonts w:eastAsia="Arial" w:cs="Arial" w:ascii="Arial" w:hAnsi="Arial"/>
          <w:b/>
          <w:sz w:val="20"/>
          <w:szCs w:val="20"/>
          <w:lang w:eastAsia="it-IT"/>
        </w:rPr>
        <w:t>Elenco stati, qualità personali, fatti oggetto di dichiarazione sostitutiva necessari a corredo della Segnalazione/Comunicazione, con indicazione delle norme che ne prevedono la produzione</w:t>
      </w:r>
      <w:r>
        <w:rPr>
          <w:rFonts w:eastAsia="Arial" w:cs="Arial" w:ascii="Arial" w:hAnsi="Arial"/>
          <w:sz w:val="20"/>
          <w:szCs w:val="20"/>
          <w:lang w:eastAsia="it-IT"/>
        </w:rPr>
        <w:t xml:space="preserve"> (a</w:t>
      </w:r>
      <w:r>
        <w:rPr>
          <w:rFonts w:eastAsia="Arial" w:cs="Arial" w:ascii="Arial" w:hAnsi="Arial"/>
          <w:bCs/>
          <w:sz w:val="20"/>
          <w:szCs w:val="20"/>
          <w:lang w:eastAsia="it-IT"/>
        </w:rPr>
        <w:t>rt. 2,.c2, D.lgs. n. 126/2016</w:t>
      </w:r>
      <w:r>
        <w:rPr>
          <w:rFonts w:eastAsia="Arial" w:cs="Arial" w:ascii="Arial" w:hAnsi="Arial"/>
          <w:sz w:val="20"/>
          <w:szCs w:val="20"/>
          <w:lang w:eastAsia="it-IT"/>
        </w:rPr>
        <w:t xml:space="preserve">). </w:t>
      </w:r>
    </w:p>
    <w:tbl>
      <w:tblPr>
        <w:tblW w:w="98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5570"/>
        <w:gridCol w:w="4293"/>
      </w:tblGrid>
      <w:tr>
        <w:trPr/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it-IT"/>
              </w:rPr>
              <w:t>Stati, qualità personali e fatti oggetto di dichiarazione sostitutiva necessari a corredo della Segnalazione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it-IT"/>
              </w:rPr>
              <w:t>Norme che ne prevedono la produzione</w:t>
            </w:r>
          </w:p>
        </w:tc>
      </w:tr>
      <w:tr>
        <w:trPr/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 xml:space="preserve">Dati identificativi dell’impresa 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tabs>
                <w:tab w:val="left" w:pos="7371" w:leader="none"/>
                <w:tab w:val="left" w:pos="9639" w:leader="none"/>
              </w:tabs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t xml:space="preserve">Art. 2195 codice </w:t>
            </w:r>
          </w:p>
        </w:tc>
      </w:tr>
      <w:tr>
        <w:trPr/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Qualità rivestita dal titolare dell’impresa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uppressAutoHyphens w:val="false"/>
              <w:spacing w:lineRule="auto" w:line="240" w:before="120" w:after="120"/>
              <w:outlineLvl w:val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Art. 2082 codice civile</w:t>
            </w:r>
          </w:p>
        </w:tc>
      </w:tr>
      <w:tr>
        <w:trPr/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Natura, ubicazione e insegna dell'esercizio</w:t>
            </w:r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Art. 152, regolamento per l’esecuzione del TULPS (R.D. n. 635/1940)</w:t>
            </w:r>
          </w:p>
        </w:tc>
      </w:tr>
      <w:tr>
        <w:trPr/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Rispetto norme urbanistiche, edilizie, di destinazione d’uso e igienico-sanitarie</w:t>
            </w:r>
            <w:r>
              <w:rPr>
                <w:rStyle w:val="FootnoteCharacters"/>
                <w:rStyle w:val="FootnoteAnchor"/>
                <w:rFonts w:eastAsia="Times New Roman" w:cs="Arial" w:ascii="Arial" w:hAnsi="Arial"/>
                <w:sz w:val="20"/>
                <w:szCs w:val="20"/>
                <w:lang w:eastAsia="it-IT"/>
              </w:rPr>
              <w:footnoteReference w:id="3"/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Disposizioni urbanistiche e igienico-sanitarie comunali</w:t>
            </w:r>
          </w:p>
        </w:tc>
      </w:tr>
      <w:tr>
        <w:trPr/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Assenza cause di divieto, decadenza o sospensione di cui al libro primo, titolo primo, D.lgs. N.159/2011 (Legge antimafia)</w:t>
            </w:r>
            <w:r>
              <w:rPr>
                <w:rStyle w:val="FootnoteCharacters"/>
                <w:rStyle w:val="FootnoteAnchor"/>
                <w:rFonts w:eastAsia="Times New Roman" w:cs="Arial" w:ascii="Arial" w:hAnsi="Arial"/>
                <w:sz w:val="20"/>
                <w:szCs w:val="20"/>
                <w:lang w:eastAsia="it-IT"/>
              </w:rPr>
              <w:footnoteReference w:id="4"/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  <w:lang w:val="en-US"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it-IT"/>
              </w:rPr>
              <w:t>Art. 67, c.1, lett. A), D. Lgs N. 159/2011</w:t>
            </w:r>
          </w:p>
        </w:tc>
      </w:tr>
      <w:tr>
        <w:trPr/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Paragrafoelenco"/>
              <w:spacing w:lineRule="auto" w:line="240" w:before="120" w:after="120"/>
              <w:ind w:left="0" w:hanging="0"/>
              <w:contextualSpacing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Insussistenza condizioni previste dagli art. 11 e 92 del TULPS</w:t>
            </w:r>
            <w:r>
              <w:rPr>
                <w:rStyle w:val="FootnoteCharacters"/>
                <w:rFonts w:eastAsia="Times New Roman" w:cs="Arial" w:ascii="Arial" w:hAnsi="Arial"/>
                <w:sz w:val="20"/>
                <w:szCs w:val="20"/>
                <w:lang w:eastAsia="it-IT"/>
              </w:rPr>
              <w:t xml:space="preserve"> </w:t>
            </w:r>
            <w:r>
              <w:rPr>
                <w:rStyle w:val="FootnoteCharacters"/>
                <w:rStyle w:val="FootnoteAnchor"/>
                <w:rFonts w:eastAsia="Times New Roman" w:cs="Arial" w:ascii="Arial" w:hAnsi="Arial"/>
                <w:sz w:val="20"/>
                <w:szCs w:val="20"/>
                <w:lang w:eastAsia="it-IT"/>
              </w:rPr>
              <w:footnoteReference w:id="5"/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highlight w:val="yellow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Artt. 11 e 92, TULPS</w:t>
            </w:r>
          </w:p>
        </w:tc>
      </w:tr>
      <w:tr>
        <w:trPr/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120" w:after="120"/>
              <w:rPr>
                <w:rFonts w:ascii="Arial" w:hAnsi="Arial" w:eastAsia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Conformità attrezzature alle prescrizioni delle vigenti normative</w:t>
            </w:r>
            <w:r>
              <w:rPr>
                <w:rStyle w:val="FootnoteCharacters"/>
                <w:rStyle w:val="FootnoteAnchor"/>
                <w:rFonts w:eastAsia="Times New Roman" w:cs="Arial" w:ascii="Arial" w:hAnsi="Arial"/>
                <w:sz w:val="20"/>
                <w:szCs w:val="20"/>
                <w:lang w:eastAsia="it-IT"/>
              </w:rPr>
              <w:footnoteReference w:id="6"/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Normative di sicurezza e igienico-sanitarie settoriali</w:t>
            </w:r>
          </w:p>
        </w:tc>
      </w:tr>
      <w:tr>
        <w:trPr/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Rispetto norme sulla sicurezza nei luoghi di lavoro</w:t>
            </w:r>
            <w:r>
              <w:rPr>
                <w:rStyle w:val="FootnoteCharacters"/>
                <w:rStyle w:val="FootnoteAnchor"/>
                <w:rFonts w:eastAsia="Times New Roman" w:cs="Arial" w:ascii="Arial" w:hAnsi="Arial"/>
                <w:sz w:val="20"/>
                <w:szCs w:val="20"/>
                <w:lang w:eastAsia="it-IT"/>
              </w:rPr>
              <w:footnoteReference w:id="7"/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D.lgs. N. 81/2008</w:t>
            </w:r>
          </w:p>
        </w:tc>
      </w:tr>
      <w:tr>
        <w:trPr>
          <w:trHeight w:val="234" w:hRule="atLeast"/>
        </w:trPr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Prestazione del consenso al trattamento dei dati personali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val="en-US"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it-IT"/>
              </w:rPr>
              <w:t>Art. 13, D. Lgs. N. 196/2003</w:t>
            </w:r>
          </w:p>
        </w:tc>
      </w:tr>
      <w:tr>
        <w:trPr/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iCs/>
                <w:sz w:val="20"/>
                <w:szCs w:val="20"/>
                <w:lang w:eastAsia="it-IT"/>
              </w:rPr>
              <w:t xml:space="preserve">Dichiarazione </w:t>
            </w:r>
            <w:r>
              <w:rPr>
                <w:rFonts w:eastAsia="Arial" w:cs="Arial" w:ascii="Arial" w:hAnsi="Arial"/>
                <w:color w:val="000000"/>
                <w:sz w:val="20"/>
                <w:szCs w:val="20"/>
                <w:lang w:eastAsia="it-IT"/>
              </w:rPr>
              <w:t>rispetto disposizioni D.P.R. n. 445/2000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val="en-US" w:eastAsia="it-IT"/>
              </w:rPr>
            </w:pPr>
            <w:r>
              <w:rPr>
                <w:rFonts w:eastAsia="Times New Roman" w:cs="Arial" w:ascii="Arial" w:hAnsi="Arial"/>
                <w:iCs/>
                <w:sz w:val="20"/>
                <w:szCs w:val="20"/>
                <w:lang w:val="en-US" w:eastAsia="it-IT"/>
              </w:rPr>
              <w:t>Art. 71 e ss., DPR n. 445/2000</w:t>
            </w:r>
          </w:p>
        </w:tc>
      </w:tr>
      <w:tr>
        <w:trPr/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Dichiarazioni persone tenute (amministratori, soci) – solo per società, associazioni, organismi collettivi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 xml:space="preserve">Artt. 67 e 85, </w:t>
            </w:r>
            <w:r>
              <w:rPr>
                <w:rFonts w:eastAsia="Times New Roman" w:cs="Arial" w:ascii="Arial" w:hAnsi="Arial"/>
                <w:sz w:val="20"/>
                <w:szCs w:val="20"/>
                <w:lang w:val="en-US" w:eastAsia="it-IT"/>
              </w:rPr>
              <w:t>D. Lgs</w:t>
            </w: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 xml:space="preserve"> N. 159/2011</w:t>
            </w:r>
          </w:p>
        </w:tc>
      </w:tr>
      <w:tr>
        <w:trPr/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Impegno ad allegare copia della documentazione richiesta dalla modulistica comunale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val="en-US" w:eastAsia="it-IT"/>
              </w:rPr>
            </w:pPr>
            <w:r>
              <w:rPr>
                <w:rFonts w:eastAsia="Arial" w:cs="Arial" w:ascii="Arial" w:hAnsi="Arial"/>
                <w:sz w:val="20"/>
                <w:szCs w:val="20"/>
                <w:lang w:val="en-US" w:eastAsia="it-IT"/>
              </w:rPr>
              <w:t xml:space="preserve">Art. 2, c.2, </w:t>
            </w:r>
            <w:r>
              <w:rPr>
                <w:rFonts w:eastAsia="Times New Roman" w:cs="Arial" w:ascii="Arial" w:hAnsi="Arial"/>
                <w:sz w:val="20"/>
                <w:szCs w:val="20"/>
                <w:lang w:val="en-US" w:eastAsia="it-IT"/>
              </w:rPr>
              <w:t>D. Lgs</w:t>
            </w:r>
            <w:r>
              <w:rPr>
                <w:rFonts w:eastAsia="Arial" w:cs="Arial" w:ascii="Arial" w:hAnsi="Arial"/>
                <w:sz w:val="20"/>
                <w:szCs w:val="20"/>
                <w:lang w:val="en-US" w:eastAsia="it-IT"/>
              </w:rPr>
              <w:t xml:space="preserve"> N. 126/2016</w:t>
            </w:r>
          </w:p>
        </w:tc>
      </w:tr>
    </w:tbl>
    <w:p>
      <w:pPr>
        <w:pStyle w:val="Normal"/>
        <w:widowControl w:val="false"/>
        <w:spacing w:lineRule="auto" w:line="240" w:before="240" w:after="240"/>
        <w:jc w:val="both"/>
        <w:rPr/>
      </w:pPr>
      <w:r>
        <w:rPr>
          <w:rFonts w:eastAsia="Times New Roman" w:cs="Arial" w:ascii="Arial" w:hAnsi="Arial"/>
          <w:b/>
          <w:sz w:val="20"/>
          <w:szCs w:val="20"/>
          <w:lang w:eastAsia="it-IT"/>
        </w:rPr>
        <w:t>N.B. Per questa tipologia di attività non sono previste attestazioni/asseverazioni di tecnici abilitati/dichiarazioni di conformità delle Agenzie delle imprese, necessari a corredo della Segnalazione/Comunicazione.</w:t>
      </w:r>
    </w:p>
    <w:p>
      <w:pPr>
        <w:pStyle w:val="Normal"/>
        <w:widowControl w:val="false"/>
        <w:shd w:fill="FFFFFF" w:val="clear"/>
        <w:spacing w:lineRule="auto" w:line="240" w:before="240" w:after="240"/>
        <w:jc w:val="both"/>
        <w:rPr>
          <w:rFonts w:ascii="Arial" w:hAnsi="Arial" w:eastAsia="Times New Roman" w:cs="Arial"/>
          <w:sz w:val="20"/>
          <w:szCs w:val="20"/>
          <w:lang w:eastAsia="it-IT"/>
        </w:rPr>
      </w:pPr>
      <w:r>
        <w:rPr>
          <w:rFonts w:eastAsia="Times New Roman" w:cs="Arial" w:ascii="Arial" w:hAnsi="Arial"/>
          <w:b/>
          <w:sz w:val="20"/>
          <w:szCs w:val="20"/>
          <w:lang w:eastAsia="it-IT"/>
        </w:rPr>
        <w:t>DOCUMENTAZIONE DA ALLEGARE</w:t>
      </w:r>
      <w:r>
        <w:rPr>
          <w:rStyle w:val="FootnoteAnchor"/>
          <w:rFonts w:eastAsia="Times New Roman" w:cs="Arial" w:ascii="Arial" w:hAnsi="Arial"/>
          <w:sz w:val="20"/>
          <w:szCs w:val="20"/>
          <w:vertAlign w:val="superscript"/>
          <w:lang w:eastAsia="it-IT"/>
        </w:rPr>
        <w:footnoteReference w:id="8"/>
      </w:r>
    </w:p>
    <w:p>
      <w:pPr>
        <w:pStyle w:val="Normal"/>
        <w:widowControl w:val="false"/>
        <w:spacing w:lineRule="auto" w:line="240" w:before="240" w:after="240"/>
        <w:jc w:val="both"/>
        <w:rPr>
          <w:rFonts w:cs="Arial"/>
        </w:rPr>
      </w:pPr>
      <w:r>
        <w:rPr>
          <w:rFonts w:eastAsia="Times New Roman" w:cs="Arial" w:ascii="Arial" w:hAnsi="Arial"/>
          <w:b/>
          <w:sz w:val="20"/>
          <w:szCs w:val="20"/>
          <w:lang w:eastAsia="it-IT"/>
        </w:rPr>
        <w:t>Documentazione da allegare alla SCIA (a pena di irricevibilità):</w:t>
      </w:r>
    </w:p>
    <w:tbl>
      <w:tblPr>
        <w:tblW w:w="98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1572"/>
        <w:gridCol w:w="4854"/>
        <w:gridCol w:w="3437"/>
      </w:tblGrid>
      <w:tr>
        <w:trPr>
          <w:trHeight w:val="293" w:hRule="atLeast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it-IT"/>
              </w:rPr>
              <w:t>Allegati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it-IT"/>
              </w:rPr>
              <w:t>Denominazione allegato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it-IT"/>
              </w:rPr>
              <w:t>Casi in cui è previsto l’allegato</w:t>
            </w:r>
          </w:p>
        </w:tc>
      </w:tr>
      <w:tr>
        <w:trPr>
          <w:trHeight w:val="356" w:hRule="atLeast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jc w:val="center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Wingdings" w:cs="Wingdings" w:ascii="Wingdings" w:hAnsi="Wingdings"/>
                <w:sz w:val="24"/>
                <w:szCs w:val="20"/>
                <w:lang w:eastAsia="en-US"/>
              </w:rPr>
              <w:t>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 xml:space="preserve">Procura/Delega 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Nel caso di procura/delega a presentare la segnalazione</w:t>
            </w:r>
          </w:p>
        </w:tc>
      </w:tr>
      <w:tr>
        <w:trPr/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jc w:val="center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Wingdings" w:cs="Wingdings" w:ascii="Wingdings" w:hAnsi="Wingdings"/>
                <w:sz w:val="24"/>
                <w:szCs w:val="20"/>
                <w:lang w:eastAsia="en-US"/>
              </w:rPr>
              <w:t>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Copia del documento di identità del/i titolare/i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Nel caso in cui la segnalazione non sia sottoscritta in forma digitale e in assenza di procura</w:t>
            </w:r>
          </w:p>
        </w:tc>
      </w:tr>
      <w:tr>
        <w:trPr>
          <w:trHeight w:val="106" w:hRule="atLeast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eastAsia="Wingdings" w:cs="Wingdings" w:ascii="Wingdings" w:hAnsi="Wingdings"/>
                <w:sz w:val="24"/>
                <w:szCs w:val="20"/>
                <w:lang w:eastAsia="en-US"/>
              </w:rPr>
              <w:t>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Copia permesso di soggiorno o carta di soggiorno del firmatario (se il permesso scade entro 30 giorni: copia della ricevuta della richiesta di rinnovo)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 xml:space="preserve">Nel caso di cittadini extracomunitari </w:t>
            </w:r>
          </w:p>
        </w:tc>
      </w:tr>
      <w:tr>
        <w:trPr/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eastAsia="Wingdings" w:cs="Wingdings" w:ascii="Wingdings" w:hAnsi="Wingdings"/>
                <w:sz w:val="24"/>
                <w:szCs w:val="20"/>
                <w:lang w:eastAsia="en-US"/>
              </w:rPr>
              <w:t>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/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Dichiarazioni sul possesso dei requisiti da parte degli altri soci (allegato A del modello + copia del documento d’identità)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Sempre, in presenza di soggetti (ad es. soci) diversi dal dichiarante</w:t>
            </w:r>
          </w:p>
        </w:tc>
      </w:tr>
    </w:tbl>
    <w:p>
      <w:pPr>
        <w:pStyle w:val="Normal"/>
        <w:widowControl w:val="false"/>
        <w:spacing w:lineRule="auto" w:line="240" w:before="240" w:after="240"/>
        <w:jc w:val="both"/>
        <w:rPr>
          <w:rFonts w:cs="Arial"/>
        </w:rPr>
      </w:pPr>
      <w:r>
        <w:rPr>
          <w:rFonts w:eastAsia="Times New Roman" w:cs="Arial" w:ascii="Arial" w:hAnsi="Arial"/>
          <w:b/>
          <w:sz w:val="20"/>
          <w:szCs w:val="20"/>
          <w:lang w:eastAsia="it-IT"/>
        </w:rPr>
        <w:t>Documentazione da allegare alla Comunicazione (a pena di irricevibilità):</w:t>
      </w:r>
    </w:p>
    <w:tbl>
      <w:tblPr>
        <w:tblW w:w="98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1572"/>
        <w:gridCol w:w="4828"/>
        <w:gridCol w:w="3463"/>
      </w:tblGrid>
      <w:tr>
        <w:trPr/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it-IT"/>
              </w:rPr>
              <w:t>Allegati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it-IT"/>
              </w:rPr>
              <w:t>Denominazione allegato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it-IT"/>
              </w:rPr>
              <w:t>Casi in cui è previsto l’allegato</w:t>
            </w:r>
          </w:p>
        </w:tc>
      </w:tr>
      <w:tr>
        <w:trPr>
          <w:trHeight w:val="437" w:hRule="atLeast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jc w:val="center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Wingdings" w:cs="Wingdings" w:ascii="Wingdings" w:hAnsi="Wingdings"/>
                <w:sz w:val="24"/>
                <w:szCs w:val="20"/>
                <w:lang w:eastAsia="en-US"/>
              </w:rPr>
              <w:t>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Procura/Delega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Nel caso di procura/delega a presentare la comunicazione</w:t>
            </w:r>
          </w:p>
        </w:tc>
      </w:tr>
      <w:tr>
        <w:trPr/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jc w:val="center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Wingdings" w:cs="Wingdings" w:ascii="Wingdings" w:hAnsi="Wingdings"/>
                <w:sz w:val="24"/>
                <w:szCs w:val="20"/>
                <w:lang w:eastAsia="en-US"/>
              </w:rPr>
              <w:t>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Copia documento di identità del/i titolare/i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Nel caso in cui la comunicazione non sia sottoscritta in forma digitale e in assenza di procura</w:t>
            </w:r>
          </w:p>
        </w:tc>
      </w:tr>
      <w:tr>
        <w:trPr/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jc w:val="center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Wingdings" w:cs="Wingdings" w:ascii="Wingdings" w:hAnsi="Wingdings"/>
                <w:sz w:val="24"/>
                <w:szCs w:val="20"/>
                <w:lang w:eastAsia="en-US"/>
              </w:rPr>
              <w:t>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Copia permesso di soggiorno o carta di soggiorno del firmatario (se il permesso scade entro 30 giorni: copia della ricevuta della richiesta di rinnovo)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Nel caso di cittadini extracomunitari</w:t>
            </w:r>
          </w:p>
        </w:tc>
      </w:tr>
      <w:tr>
        <w:trPr>
          <w:trHeight w:val="394" w:hRule="atLeast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eastAsia="Wingdings" w:cs="Wingdings" w:ascii="Wingdings" w:hAnsi="Wingdings"/>
                <w:sz w:val="24"/>
                <w:szCs w:val="20"/>
                <w:lang w:eastAsia="en-US"/>
              </w:rPr>
              <w:t>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Dichiarazione da parte del Notaio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Nel caso in cui l’atto alla base del subingresso sia in corso di registrazione</w:t>
            </w:r>
          </w:p>
        </w:tc>
      </w:tr>
      <w:tr>
        <w:trPr>
          <w:trHeight w:val="102" w:hRule="atLeast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eastAsia="Wingdings" w:cs="Wingdings" w:ascii="Wingdings" w:hAnsi="Wingdings"/>
                <w:sz w:val="24"/>
                <w:szCs w:val="20"/>
                <w:lang w:eastAsia="en-US"/>
              </w:rPr>
              <w:t>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  <w:lang w:eastAsia="it-IT"/>
              </w:rPr>
              <w:t>A</w:t>
            </w:r>
            <w:r>
              <w:rPr>
                <w:rFonts w:eastAsia="Times New Roman" w:cs="Arial" w:ascii="Arial" w:hAnsi="Arial"/>
                <w:iCs/>
                <w:sz w:val="20"/>
                <w:szCs w:val="20"/>
                <w:lang w:eastAsia="it-IT"/>
              </w:rPr>
              <w:t>utorizzazione/DIA/SCIA/Comunicazione originale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Nel caso di cessazione dell’attività</w:t>
            </w:r>
          </w:p>
        </w:tc>
      </w:tr>
    </w:tbl>
    <w:p>
      <w:pPr>
        <w:pStyle w:val="Normal"/>
        <w:widowControl w:val="false"/>
        <w:spacing w:lineRule="auto" w:line="240" w:before="240" w:after="240"/>
        <w:jc w:val="both"/>
        <w:rPr>
          <w:rFonts w:ascii="Arial" w:hAnsi="Arial" w:eastAsia="Times New Roman" w:cs="Arial"/>
          <w:b/>
          <w:b/>
          <w:sz w:val="20"/>
          <w:szCs w:val="20"/>
          <w:lang w:eastAsia="it-IT"/>
        </w:rPr>
      </w:pPr>
      <w:r>
        <w:rPr>
          <w:rFonts w:eastAsia="Times New Roman" w:cs="Arial" w:ascii="Arial" w:hAnsi="Arial"/>
          <w:b/>
          <w:sz w:val="20"/>
          <w:szCs w:val="20"/>
          <w:lang w:eastAsia="it-IT"/>
        </w:rPr>
        <w:t>Altri allegati (Attestazioni del versamento di oneri, diritti, etc.) - a pena di irricevibilità:</w:t>
      </w:r>
    </w:p>
    <w:tbl>
      <w:tblPr>
        <w:tblW w:w="98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1662"/>
        <w:gridCol w:w="4780"/>
        <w:gridCol w:w="3421"/>
      </w:tblGrid>
      <w:tr>
        <w:trPr/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it-IT"/>
              </w:rPr>
              <w:t>Allegati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it-IT"/>
              </w:rPr>
              <w:t>Denominazione allegato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it-IT"/>
              </w:rPr>
              <w:t>Casi in cui è previsto l’allegato</w:t>
            </w:r>
          </w:p>
        </w:tc>
      </w:tr>
      <w:tr>
        <w:trPr>
          <w:trHeight w:val="364" w:hRule="atLeast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jc w:val="center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Wingdings" w:cs="Wingdings" w:ascii="Wingdings" w:hAnsi="Wingdings"/>
                <w:sz w:val="24"/>
                <w:szCs w:val="20"/>
                <w:lang w:eastAsia="en-US"/>
              </w:rPr>
              <w:t>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Attestazione del versamento di oneri, diritti, etc.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Nella misura e con le modalità indicate sul sito dell’Amministrazione</w:t>
            </w:r>
          </w:p>
        </w:tc>
      </w:tr>
    </w:tbl>
    <w:p>
      <w:pPr>
        <w:pStyle w:val="Normal"/>
        <w:widowControl w:val="false"/>
        <w:shd w:fill="FFFFFF" w:val="clear"/>
        <w:spacing w:lineRule="auto" w:line="240" w:before="240" w:after="240"/>
        <w:jc w:val="both"/>
        <w:rPr>
          <w:rFonts w:ascii="Arial" w:hAnsi="Arial" w:eastAsia="Times New Roman" w:cs="Arial"/>
          <w:b/>
          <w:b/>
          <w:sz w:val="20"/>
          <w:szCs w:val="20"/>
          <w:lang w:eastAsia="it-IT"/>
        </w:rPr>
      </w:pPr>
      <w:r>
        <w:rPr>
          <w:rFonts w:eastAsia="Times New Roman" w:cs="Arial" w:ascii="Arial" w:hAnsi="Arial"/>
          <w:b/>
          <w:sz w:val="20"/>
          <w:szCs w:val="20"/>
          <w:lang w:eastAsia="it-IT"/>
        </w:rPr>
        <w:t>REQUISITI PER L’AVVIO E L’ESERCIZIO DELL’ATTIVITÀ</w:t>
      </w:r>
    </w:p>
    <w:p>
      <w:pPr>
        <w:pStyle w:val="Normal"/>
        <w:widowControl w:val="false"/>
        <w:spacing w:lineRule="auto" w:line="240" w:before="240" w:after="240"/>
        <w:jc w:val="both"/>
        <w:rPr>
          <w:rFonts w:ascii="Arial" w:hAnsi="Arial" w:eastAsia="Times New Roman" w:cs="Arial"/>
          <w:b/>
          <w:b/>
          <w:sz w:val="20"/>
          <w:szCs w:val="20"/>
          <w:lang w:eastAsia="it-IT"/>
        </w:rPr>
      </w:pPr>
      <w:r>
        <w:rPr>
          <w:rFonts w:eastAsia="Times New Roman" w:cs="Arial" w:ascii="Arial" w:hAnsi="Arial"/>
          <w:b/>
          <w:sz w:val="20"/>
          <w:szCs w:val="20"/>
          <w:lang w:eastAsia="it-IT"/>
        </w:rPr>
        <w:t>Requisiti morali:</w:t>
      </w:r>
    </w:p>
    <w:p>
      <w:pPr>
        <w:pStyle w:val="Normal"/>
        <w:suppressAutoHyphens w:val="false"/>
        <w:spacing w:lineRule="auto" w:line="240" w:before="100" w:after="100"/>
        <w:ind w:right="567" w:hanging="0"/>
        <w:jc w:val="both"/>
        <w:rPr>
          <w:rFonts w:ascii="Arial" w:hAnsi="Arial" w:eastAsia="Times New Roman" w:cs="Arial"/>
          <w:sz w:val="20"/>
          <w:szCs w:val="20"/>
          <w:lang w:eastAsia="it-IT"/>
        </w:rPr>
      </w:pPr>
      <w:r>
        <w:rPr>
          <w:rFonts w:eastAsia="Times New Roman" w:cs="Arial" w:ascii="Arial" w:hAnsi="Arial"/>
          <w:sz w:val="20"/>
          <w:szCs w:val="20"/>
          <w:lang w:eastAsia="it-IT"/>
        </w:rPr>
        <w:t>Costituisce impedimento soggettivo all’esercizio dell’attività, l'applicazione delle misure di prevenzione di cui al libro I, titolo I (Foglio di via obbligatorio, Sorveglianza speciale, Divieto di soggiorno e Obbligo di soggiorno) e la condanna con sentenza definitiva per i delitti elencati nell’art. 51, c.3 bis del Codice di Procedura Penale, ad es. associazione di tipo mafioso, associazione finalizzata al traffico di stupefacenti, etc. (art. 67, D.lgs. n. 159/11). In caso di impresa individuale, tali requisiti devono essere posseduti dal titolare; in caso di società/associazioni/organismi collettivi, da legale rappresentante e soggetti indicati dall’art. 85, c.1 e 2, D.lgs. n. 159/2011.</w:t>
      </w:r>
    </w:p>
    <w:p>
      <w:pPr>
        <w:pStyle w:val="Normal"/>
        <w:suppressAutoHyphens w:val="false"/>
        <w:spacing w:lineRule="auto" w:line="240" w:before="100" w:after="100"/>
        <w:jc w:val="both"/>
        <w:rPr/>
      </w:pPr>
      <w:r>
        <w:rPr>
          <w:rFonts w:eastAsia="Times New Roman" w:cs="Arial" w:ascii="Arial" w:hAnsi="Arial"/>
          <w:sz w:val="20"/>
          <w:szCs w:val="20"/>
          <w:lang w:eastAsia="it-IT"/>
        </w:rPr>
        <w:t>Insussistenza delle condizioni previste dagli art. 11</w:t>
      </w:r>
      <w:r>
        <w:rPr>
          <w:rStyle w:val="FootnoteCharacters"/>
          <w:rStyle w:val="FootnoteAnchor"/>
          <w:rFonts w:eastAsia="Times New Roman" w:cs="Arial" w:ascii="Arial" w:hAnsi="Arial"/>
          <w:sz w:val="20"/>
          <w:szCs w:val="20"/>
          <w:lang w:eastAsia="it-IT"/>
        </w:rPr>
        <w:footnoteReference w:id="9"/>
      </w:r>
      <w:r>
        <w:rPr>
          <w:rFonts w:eastAsia="Times New Roman" w:cs="Arial" w:ascii="Arial" w:hAnsi="Arial"/>
          <w:sz w:val="20"/>
          <w:szCs w:val="20"/>
          <w:lang w:eastAsia="it-IT"/>
        </w:rPr>
        <w:t xml:space="preserve"> e 92</w:t>
      </w:r>
      <w:r>
        <w:rPr>
          <w:rStyle w:val="FootnoteCharacters"/>
          <w:rStyle w:val="FootnoteAnchor"/>
          <w:rFonts w:eastAsia="Times New Roman" w:cs="Arial" w:ascii="Arial" w:hAnsi="Arial"/>
          <w:sz w:val="20"/>
          <w:szCs w:val="20"/>
          <w:lang w:eastAsia="it-IT"/>
        </w:rPr>
        <w:footnoteReference w:id="10"/>
      </w:r>
      <w:r>
        <w:rPr>
          <w:rFonts w:eastAsia="Times New Roman" w:cs="Arial" w:ascii="Arial" w:hAnsi="Arial"/>
          <w:sz w:val="20"/>
          <w:szCs w:val="20"/>
          <w:lang w:eastAsia="it-IT"/>
        </w:rPr>
        <w:t xml:space="preserve"> del TULPS (R.D. n. 773/1931).</w:t>
      </w:r>
    </w:p>
    <w:p>
      <w:pPr>
        <w:pStyle w:val="Normal"/>
        <w:widowControl w:val="false"/>
        <w:spacing w:lineRule="auto" w:line="240" w:before="240" w:after="240"/>
        <w:jc w:val="both"/>
        <w:rPr>
          <w:rFonts w:ascii="Arial" w:hAnsi="Arial" w:eastAsia="Times New Roman" w:cs="Arial"/>
          <w:b/>
          <w:b/>
          <w:bCs/>
          <w:sz w:val="20"/>
          <w:szCs w:val="20"/>
          <w:lang w:eastAsia="it-IT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it-IT"/>
        </w:rPr>
        <w:t>Requisiti oggettivi:</w:t>
      </w:r>
    </w:p>
    <w:p>
      <w:pPr>
        <w:pStyle w:val="Normal"/>
        <w:suppressAutoHyphens w:val="false"/>
        <w:autoSpaceDE w:val="false"/>
        <w:spacing w:lineRule="auto" w:line="240" w:before="100" w:after="100"/>
        <w:ind w:right="658" w:hanging="0"/>
        <w:jc w:val="both"/>
        <w:rPr>
          <w:rFonts w:ascii="Arial" w:hAnsi="Arial" w:eastAsia="Times New Roman" w:cs="Arial"/>
          <w:bCs/>
          <w:sz w:val="20"/>
          <w:szCs w:val="20"/>
          <w:lang w:eastAsia="it-IT"/>
        </w:rPr>
      </w:pPr>
      <w:r>
        <w:rPr>
          <w:rFonts w:eastAsia="Times New Roman" w:cs="Arial" w:ascii="Arial" w:hAnsi="Arial"/>
          <w:bCs/>
          <w:sz w:val="20"/>
          <w:szCs w:val="20"/>
          <w:lang w:eastAsia="it-IT"/>
        </w:rPr>
        <w:t>Idoneità dei locali dal punto di vista urbanistico, edilizio, di destinazione d’uso e igienico-sanitario.</w:t>
      </w:r>
    </w:p>
    <w:p>
      <w:pPr>
        <w:pStyle w:val="Normal"/>
        <w:shd w:fill="FFFFFF" w:val="clear"/>
        <w:suppressAutoHyphens w:val="false"/>
        <w:spacing w:lineRule="auto" w:line="240" w:before="100" w:after="100"/>
        <w:jc w:val="both"/>
        <w:rPr>
          <w:rFonts w:ascii="Arial" w:hAnsi="Arial" w:eastAsia="Times New Roman" w:cs="Arial"/>
          <w:sz w:val="20"/>
          <w:szCs w:val="20"/>
          <w:lang w:eastAsia="it-IT"/>
        </w:rPr>
      </w:pPr>
      <w:r>
        <w:rPr>
          <w:rFonts w:eastAsia="Times New Roman" w:cs="Arial" w:ascii="Arial" w:hAnsi="Arial"/>
          <w:sz w:val="20"/>
          <w:szCs w:val="20"/>
          <w:lang w:eastAsia="it-IT"/>
        </w:rPr>
        <w:t>Rispetto norme sulla sicurezza nei luoghi di lavoro, di cui al D.lgs. n. 81/2006.</w:t>
      </w:r>
    </w:p>
    <w:p>
      <w:pPr>
        <w:pStyle w:val="Normal"/>
        <w:shd w:fill="FFFFFF" w:val="clear"/>
        <w:suppressAutoHyphens w:val="false"/>
        <w:spacing w:lineRule="auto" w:line="240" w:before="100" w:after="100"/>
        <w:rPr>
          <w:rFonts w:ascii="Arial" w:hAnsi="Arial" w:eastAsia="Times New Roman" w:cs="Arial"/>
          <w:b/>
          <w:b/>
          <w:sz w:val="20"/>
          <w:szCs w:val="20"/>
          <w:lang w:eastAsia="it-IT"/>
        </w:rPr>
      </w:pPr>
      <w:r>
        <w:rPr>
          <w:rFonts w:eastAsia="Times New Roman" w:cs="Arial" w:ascii="Arial" w:hAnsi="Arial"/>
          <w:sz w:val="20"/>
          <w:szCs w:val="20"/>
          <w:lang w:eastAsia="it-IT"/>
        </w:rPr>
        <w:t>Conformità delle attrezzature alle prescrizioni delle vigenti normative di sicurezza e igienico-sanitarie settoriali.</w:t>
      </w:r>
    </w:p>
    <w:p>
      <w:pPr>
        <w:pStyle w:val="Normal"/>
        <w:widowControl w:val="false"/>
        <w:shd w:fill="FFFFFF" w:val="clear"/>
        <w:spacing w:lineRule="auto" w:line="240" w:before="240" w:after="240"/>
        <w:jc w:val="both"/>
        <w:rPr>
          <w:rFonts w:ascii="Arial" w:hAnsi="Arial" w:eastAsia="Times New Roman" w:cs="Arial"/>
          <w:b/>
          <w:b/>
          <w:bCs/>
          <w:sz w:val="20"/>
          <w:szCs w:val="20"/>
          <w:lang w:eastAsia="it-IT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it-IT"/>
        </w:rPr>
        <w:t>TEMPI SPECIFICI E CONTROLLI</w:t>
      </w:r>
    </w:p>
    <w:p>
      <w:pPr>
        <w:pStyle w:val="Normal"/>
        <w:widowControl w:val="false"/>
        <w:tabs>
          <w:tab w:val="left" w:pos="9782" w:leader="none"/>
        </w:tabs>
        <w:spacing w:lineRule="auto" w:line="240" w:before="240" w:after="240"/>
        <w:jc w:val="both"/>
        <w:rPr>
          <w:rFonts w:ascii="Arial" w:hAnsi="Arial" w:eastAsia="Times New Roman" w:cs="Arial"/>
          <w:bCs/>
          <w:sz w:val="20"/>
          <w:szCs w:val="20"/>
          <w:lang w:eastAsia="it-IT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it-IT"/>
        </w:rPr>
        <w:t>L’attività, oggetto della Scia</w:t>
      </w:r>
      <w:r>
        <w:rPr>
          <w:rFonts w:eastAsia="Times New Roman" w:cs="Arial" w:ascii="Arial" w:hAnsi="Arial"/>
          <w:bCs/>
          <w:sz w:val="20"/>
          <w:szCs w:val="20"/>
          <w:lang w:eastAsia="it-IT"/>
        </w:rPr>
        <w:t xml:space="preserve"> può essere iniziata</w:t>
      </w:r>
      <w:r>
        <w:rPr>
          <w:rFonts w:eastAsia="Times New Roman" w:cs="Arial" w:ascii="Arial" w:hAnsi="Arial"/>
          <w:b/>
          <w:bCs/>
          <w:sz w:val="20"/>
          <w:szCs w:val="20"/>
          <w:lang w:eastAsia="it-IT"/>
        </w:rPr>
        <w:t xml:space="preserve"> dalla presentazione della stessa.</w:t>
      </w:r>
    </w:p>
    <w:p>
      <w:pPr>
        <w:pStyle w:val="Normal"/>
        <w:suppressAutoHyphens w:val="false"/>
        <w:spacing w:lineRule="auto" w:line="240" w:before="100" w:after="100"/>
        <w:jc w:val="both"/>
        <w:rPr>
          <w:rFonts w:ascii="Arial" w:hAnsi="Arial" w:eastAsia="Times New Roman" w:cs="Arial"/>
          <w:bCs/>
          <w:color w:val="000000"/>
          <w:sz w:val="20"/>
          <w:szCs w:val="20"/>
          <w:lang w:eastAsia="it-IT"/>
        </w:rPr>
      </w:pPr>
      <w:r>
        <w:rPr>
          <w:rFonts w:eastAsia="Times New Roman" w:cs="Arial" w:ascii="Arial" w:hAnsi="Arial"/>
          <w:bCs/>
          <w:color w:val="000000"/>
          <w:sz w:val="20"/>
          <w:szCs w:val="20"/>
          <w:lang w:eastAsia="it-IT"/>
        </w:rPr>
        <w:t xml:space="preserve">Qualora, nei controlli venga accertata la carenza dei requisiti/presupposti previsti dalla normativa vigente il Comune, entro 60 gg. dal ricevimento, invita il privato a conformare l'attività e i suoi effetti, entro un termine non inferiore a trenta giorni, decorso inutilmente il quale, l'attività si intende vietata. </w:t>
      </w:r>
      <w:r>
        <w:rPr>
          <w:rFonts w:eastAsia="Times New Roman" w:cs="Arial" w:ascii="Arial" w:hAnsi="Arial"/>
          <w:bCs/>
          <w:sz w:val="20"/>
          <w:szCs w:val="20"/>
          <w:lang w:eastAsia="it-IT"/>
        </w:rPr>
        <w:t>Con lo stesso atto, in caso di attestazioni non veritiere o pericolo per la tutela dell'interesse pubblico in materia di ambiente, paesaggio, beni culturali, salute, sicurezza pubblica o difesa nazionale, viene sospesa l'attività. L'atto interrompe il termine di 60 giorni dal ricevimento della Scia per operare i controlli, che ricomincia a decorrere dalla data in cui il privato comunica l'adozione delle misure richieste. In assenza di ulteriori provvedimenti, decorso tale termine, cessano gli effetti della sospensione eventualmente adottata.</w:t>
      </w:r>
    </w:p>
    <w:p>
      <w:pPr>
        <w:pStyle w:val="Normal"/>
        <w:suppressAutoHyphens w:val="false"/>
        <w:spacing w:lineRule="auto" w:line="240" w:before="100" w:after="100"/>
        <w:jc w:val="both"/>
        <w:rPr/>
      </w:pPr>
      <w:r>
        <w:rPr>
          <w:rFonts w:eastAsia="Times New Roman" w:cs="Arial" w:ascii="Arial" w:hAnsi="Arial"/>
          <w:bCs/>
          <w:sz w:val="20"/>
          <w:szCs w:val="20"/>
          <w:lang w:eastAsia="it-IT"/>
        </w:rPr>
        <w:t>Decorsi 60 giorni dal ricevimento della Scia, l'amministrazione può adottare comunque i suddetti provvedimenti in presenza delle condizioni di cui all'art. 21-nonies, L. n. 241/90 (ossia, entro 18 mesi nel caso di illegittimità degli atti e anche oltre tale termine nell’ipotesi di false rappresentazioni dei fatti o dichiarazioni false/mendaci per effetto di condotte costituenti reato).</w:t>
      </w:r>
      <w:r>
        <w:rPr>
          <w:rFonts w:eastAsia="Times New Roman" w:cs="Arial" w:ascii="Arial" w:hAnsi="Arial"/>
          <w:bCs/>
          <w:color w:val="000000"/>
          <w:sz w:val="20"/>
          <w:szCs w:val="20"/>
          <w:lang w:eastAsia="it-IT"/>
        </w:rPr>
        <w:t xml:space="preserve"> </w:t>
      </w:r>
      <w:r>
        <w:rPr>
          <w:rFonts w:eastAsia="Times New Roman" w:cs="Arial" w:ascii="Arial" w:hAnsi="Arial"/>
          <w:bCs/>
          <w:sz w:val="20"/>
          <w:szCs w:val="20"/>
          <w:lang w:eastAsia="it-IT"/>
        </w:rPr>
        <w:t>In caso di dichiarazioni false/mendaci è fatta, comunque, salva l’applicazione delle sanzioni ex art. 19, c.6, L. n. 241/1990.</w:t>
      </w:r>
    </w:p>
    <w:p>
      <w:pPr>
        <w:pStyle w:val="Normal"/>
        <w:suppressAutoHyphens w:val="false"/>
        <w:spacing w:lineRule="auto" w:line="240" w:before="100" w:after="100"/>
        <w:jc w:val="both"/>
        <w:rPr/>
      </w:pPr>
      <w:r>
        <w:rPr>
          <w:rFonts w:eastAsia="Times New Roman" w:cs="Arial" w:ascii="Arial" w:hAnsi="Arial"/>
          <w:bCs/>
          <w:sz w:val="20"/>
          <w:szCs w:val="20"/>
          <w:lang w:eastAsia="it-IT"/>
        </w:rPr>
        <w:t xml:space="preserve">L’attività oggetto di comunicazione </w:t>
      </w:r>
      <w:r>
        <w:rPr>
          <w:rFonts w:eastAsia="Times New Roman" w:cs="Arial" w:ascii="Arial" w:hAnsi="Arial"/>
          <w:b/>
          <w:bCs/>
          <w:sz w:val="20"/>
          <w:szCs w:val="20"/>
          <w:lang w:eastAsia="it-IT"/>
        </w:rPr>
        <w:t>può essere iniziata dalla sua presentazione</w:t>
      </w:r>
      <w:r>
        <w:rPr>
          <w:rFonts w:eastAsia="Times New Roman" w:cs="Arial" w:ascii="Arial" w:hAnsi="Arial"/>
          <w:bCs/>
          <w:sz w:val="20"/>
          <w:szCs w:val="20"/>
          <w:lang w:eastAsia="it-IT"/>
        </w:rPr>
        <w:t>. In caso di comunicazione irregolare/incompleta, entro ........ giorni dal ricevimento, sono comunicate all'interessato le cause di irregolarità/incompletezza e il termine per l'integrazione prevedendosi, in difetto, l’archiviazione della comunicazione per improcedibilità.</w:t>
      </w:r>
    </w:p>
    <w:p>
      <w:pPr>
        <w:pStyle w:val="Normal"/>
        <w:shd w:fill="FFFFFF" w:val="clear"/>
        <w:suppressAutoHyphens w:val="false"/>
        <w:spacing w:lineRule="auto" w:line="240" w:before="120" w:after="120"/>
        <w:rPr>
          <w:rFonts w:ascii="Arial" w:hAnsi="Arial" w:eastAsia="Times New Roman" w:cs="Arial"/>
          <w:b/>
          <w:b/>
          <w:bCs/>
          <w:sz w:val="20"/>
          <w:szCs w:val="20"/>
          <w:lang w:eastAsia="it-IT"/>
        </w:rPr>
      </w:pPr>
      <w:r>
        <w:rPr>
          <w:rFonts w:eastAsia="Times New Roman" w:cs="Arial" w:ascii="Arial" w:hAnsi="Arial"/>
          <w:bCs/>
          <w:sz w:val="20"/>
          <w:szCs w:val="20"/>
          <w:lang w:eastAsia="it-IT"/>
        </w:rPr>
        <w:t>Le dichiarazioni false/mendaci sono sanzionate ex artt. 71 e ss. del D.P.R. n. 445/2000.</w:t>
      </w:r>
    </w:p>
    <w:sectPr>
      <w:footerReference w:type="default" r:id="rId2"/>
      <w:footerReference w:type="first" r:id="rId3"/>
      <w:footnotePr>
        <w:numFmt w:val="decimal"/>
      </w:footnotePr>
      <w:type w:val="nextPage"/>
      <w:pgSz w:w="11906" w:h="16838"/>
      <w:pgMar w:left="1134" w:right="1134" w:header="0" w:top="1134" w:footer="34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Times">
    <w:altName w:val="Times New Roman"/>
    <w:charset w:val="00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240" w:before="0" w:after="0"/>
      <w:jc w:val="right"/>
      <w:rPr/>
    </w:pPr>
    <w:bookmarkStart w:id="1" w:name="_Hlk479843000"/>
    <w:bookmarkEnd w:id="1"/>
    <w:r>
      <w:rPr>
        <w:rFonts w:eastAsia="Times New Roman" w:cs="Arial" w:ascii="Arial" w:hAnsi="Arial"/>
        <w:sz w:val="10"/>
        <w:szCs w:val="10"/>
        <w:lang w:eastAsia="it-IT"/>
      </w:rPr>
      <w:t xml:space="preserve">Pag. </w:t>
    </w:r>
    <w:r>
      <w:rPr>
        <w:rFonts w:eastAsia="Times New Roman" w:cs="Arial" w:ascii="Arial" w:hAnsi="Arial"/>
        <w:sz w:val="10"/>
        <w:szCs w:val="10"/>
        <w:lang w:eastAsia="it-IT"/>
      </w:rPr>
      <w:fldChar w:fldCharType="begin"/>
    </w:r>
    <w:r>
      <w:instrText> PAGE </w:instrText>
    </w:r>
    <w:r>
      <w:fldChar w:fldCharType="separate"/>
    </w:r>
    <w:r>
      <w:t>5</w:t>
    </w:r>
    <w:r>
      <w:fldChar w:fldCharType="end"/>
    </w:r>
    <w:r>
      <w:rPr>
        <w:rFonts w:eastAsia="Times New Roman" w:cs="Arial" w:ascii="Arial" w:hAnsi="Arial"/>
        <w:sz w:val="10"/>
        <w:szCs w:val="10"/>
        <w:lang w:eastAsia="it-IT"/>
      </w:rPr>
      <w:t xml:space="preserve"> di </w:t>
    </w:r>
    <w:r>
      <w:rPr>
        <w:rFonts w:eastAsia="Times New Roman" w:cs="Arial" w:ascii="Arial" w:hAnsi="Arial"/>
        <w:bCs/>
        <w:sz w:val="10"/>
        <w:szCs w:val="10"/>
        <w:lang w:eastAsia="it-IT"/>
      </w:rPr>
      <w:fldChar w:fldCharType="begin"/>
    </w:r>
    <w:r>
      <w:instrText> NUMPAGES \* ARABIC </w:instrText>
    </w:r>
    <w:r>
      <w:fldChar w:fldCharType="separate"/>
    </w:r>
    <w:r>
      <w:t>5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20" w:type="dxa"/>
      <w:jc w:val="left"/>
      <w:tblInd w:w="0" w:type="dxa"/>
      <w:tblBorders>
        <w:bottom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192"/>
      <w:gridCol w:w="7817"/>
    </w:tblGrid>
    <w:tr>
      <w:trPr>
        <w:trHeight w:val="142" w:hRule="atLeast"/>
      </w:trPr>
      <w:tc>
        <w:tcPr>
          <w:tcW w:w="711" w:type="dxa"/>
          <w:vMerge w:val="restart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suppressAutoHyphens w:val="false"/>
            <w:snapToGrid w:val="false"/>
            <w:spacing w:lineRule="auto" w:line="240" w:before="0" w:after="0"/>
            <w:ind w:right="7370" w:hanging="0"/>
            <w:jc w:val="right"/>
            <w:rPr>
              <w:rFonts w:ascii="Arial" w:hAnsi="Arial" w:eastAsia="Times New Roman" w:cs="Arial"/>
              <w:sz w:val="14"/>
              <w:szCs w:val="14"/>
              <w:lang w:eastAsia="it-IT"/>
            </w:rPr>
          </w:pPr>
          <w:bookmarkStart w:id="2" w:name="_Hlk479842971"/>
          <w:bookmarkEnd w:id="2"/>
          <w:r>
            <w:rPr>
              <w:rFonts w:eastAsia="Times New Roman" w:cs="Times New Roman" w:ascii="Times" w:hAnsi="Times"/>
              <w:sz w:val="24"/>
              <w:szCs w:val="24"/>
              <w:lang w:val="en-US" w:eastAsia="en-US"/>
            </w:rPr>
            <w:drawing>
              <wp:inline distT="0" distB="0" distL="0" distR="0">
                <wp:extent cx="443230" cy="188595"/>
                <wp:effectExtent l="0" t="0" r="0" b="0"/>
                <wp:docPr id="1" name="Immagine 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79" t="-188" r="794" b="-18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323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2" w:type="dxa"/>
          <w:tcBorders>
            <w:bottom w:val="single" w:sz="4" w:space="0" w:color="000000"/>
            <w:insideH w:val="single" w:sz="4" w:space="0" w:color="000000"/>
          </w:tcBorders>
          <w:shd w:fill="FFFFFF" w:val="clear"/>
          <w:vAlign w:val="center"/>
        </w:tcPr>
        <w:p>
          <w:pPr>
            <w:pStyle w:val="Normal"/>
            <w:suppressAutoHyphens w:val="false"/>
            <w:spacing w:lineRule="auto" w:line="240" w:before="0" w:after="0"/>
            <w:jc w:val="center"/>
            <w:rPr>
              <w:rFonts w:ascii="Arial" w:hAnsi="Arial" w:eastAsia="Times New Roman" w:cs="Arial"/>
              <w:sz w:val="10"/>
              <w:szCs w:val="10"/>
              <w:lang w:eastAsia="it-IT"/>
            </w:rPr>
          </w:pPr>
          <w:r>
            <w:rPr>
              <w:rFonts w:eastAsia="Times New Roman" w:cs="Arial" w:ascii="Arial" w:hAnsi="Arial"/>
              <w:sz w:val="10"/>
              <w:szCs w:val="10"/>
              <w:lang w:eastAsia="it-IT"/>
            </w:rPr>
            <w:t>Cod. 22216s.14.1.s</w:t>
          </w:r>
        </w:p>
      </w:tc>
      <w:tc>
        <w:tcPr>
          <w:tcW w:w="7817" w:type="dxa"/>
          <w:tcBorders/>
          <w:shd w:fill="auto" w:val="clear"/>
          <w:vAlign w:val="center"/>
        </w:tcPr>
        <w:p>
          <w:pPr>
            <w:pStyle w:val="Normal"/>
            <w:suppressAutoHyphens w:val="false"/>
            <w:snapToGrid w:val="false"/>
            <w:spacing w:lineRule="auto" w:line="240" w:before="0" w:after="0"/>
            <w:ind w:right="87" w:hanging="0"/>
            <w:rPr>
              <w:rFonts w:ascii="Arial" w:hAnsi="Arial" w:eastAsia="Times New Roman" w:cs="Arial"/>
              <w:sz w:val="10"/>
              <w:szCs w:val="10"/>
              <w:lang w:eastAsia="it-IT"/>
            </w:rPr>
          </w:pPr>
          <w:r>
            <w:rPr>
              <w:rFonts w:eastAsia="Times New Roman" w:cs="Arial" w:ascii="Arial" w:hAnsi="Arial"/>
              <w:sz w:val="10"/>
              <w:szCs w:val="10"/>
              <w:lang w:eastAsia="it-IT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suppressAutoHyphens w:val="false"/>
            <w:snapToGrid w:val="false"/>
            <w:spacing w:lineRule="auto" w:line="240" w:before="0" w:after="0"/>
            <w:rPr>
              <w:rFonts w:ascii="Arial" w:hAnsi="Arial" w:eastAsia="Times New Roman" w:cs="Arial"/>
              <w:sz w:val="14"/>
              <w:szCs w:val="14"/>
              <w:lang w:eastAsia="it-IT"/>
            </w:rPr>
          </w:pPr>
          <w:r>
            <w:rPr>
              <w:rFonts w:eastAsia="Times New Roman" w:cs="Arial" w:ascii="Arial" w:hAnsi="Arial"/>
              <w:sz w:val="14"/>
              <w:szCs w:val="14"/>
              <w:lang w:eastAsia="it-IT"/>
            </w:rPr>
          </w:r>
        </w:p>
      </w:tc>
      <w:tc>
        <w:tcPr>
          <w:tcW w:w="119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suppressAutoHyphens w:val="false"/>
            <w:spacing w:lineRule="auto" w:line="240" w:before="0" w:after="0"/>
            <w:jc w:val="center"/>
            <w:rPr>
              <w:rFonts w:ascii="Arial" w:hAnsi="Arial" w:eastAsia="Times New Roman" w:cs="Arial"/>
              <w:sz w:val="10"/>
              <w:szCs w:val="10"/>
              <w:lang w:eastAsia="it-IT"/>
            </w:rPr>
          </w:pPr>
          <w:r>
            <w:rPr>
              <w:rFonts w:eastAsia="Times New Roman" w:cs="Arial" w:ascii="Arial" w:hAnsi="Arial"/>
              <w:sz w:val="10"/>
              <w:szCs w:val="10"/>
              <w:lang w:eastAsia="it-IT"/>
            </w:rPr>
            <w:t>Grafiche E. Gaspari</w:t>
          </w:r>
        </w:p>
      </w:tc>
      <w:tc>
        <w:tcPr>
          <w:tcW w:w="7817" w:type="dxa"/>
          <w:tcBorders/>
          <w:shd w:fill="auto" w:val="clear"/>
          <w:vAlign w:val="center"/>
        </w:tcPr>
        <w:p>
          <w:pPr>
            <w:pStyle w:val="Normal"/>
            <w:suppressAutoHyphens w:val="false"/>
            <w:spacing w:lineRule="auto" w:line="240" w:before="0" w:after="0"/>
            <w:ind w:right="87" w:hanging="0"/>
            <w:jc w:val="right"/>
            <w:rPr>
              <w:rFonts w:ascii="Arial" w:hAnsi="Arial" w:eastAsia="Times New Roman" w:cs="Arial"/>
              <w:sz w:val="10"/>
              <w:szCs w:val="10"/>
              <w:lang w:eastAsia="it-IT"/>
            </w:rPr>
          </w:pPr>
          <w:r>
            <w:rPr>
              <w:rFonts w:eastAsia="Times New Roman" w:cs="Arial" w:ascii="Arial" w:hAnsi="Arial"/>
              <w:sz w:val="10"/>
              <w:szCs w:val="10"/>
              <w:lang w:eastAsia="it-IT"/>
            </w:rPr>
            <w:t xml:space="preserve">Pag. </w:t>
          </w:r>
          <w:r>
            <w:rPr>
              <w:rFonts w:eastAsia="Times New Roman" w:cs="Arial" w:ascii="Arial" w:hAnsi="Arial"/>
              <w:sz w:val="10"/>
              <w:szCs w:val="10"/>
              <w:lang w:eastAsia="it-IT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 New Roman" w:cs="Arial" w:ascii="Arial" w:hAnsi="Arial"/>
              <w:sz w:val="10"/>
              <w:szCs w:val="10"/>
              <w:lang w:eastAsia="it-IT"/>
            </w:rPr>
            <w:t xml:space="preserve"> di </w:t>
          </w:r>
          <w:r>
            <w:rPr>
              <w:rFonts w:eastAsia="Times New Roman" w:cs="Arial" w:ascii="Arial" w:hAnsi="Arial"/>
              <w:bCs/>
              <w:sz w:val="10"/>
              <w:szCs w:val="10"/>
              <w:lang w:eastAsia="it-IT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5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suppressAutoHyphens w:val="false"/>
      <w:spacing w:lineRule="auto" w:line="240" w:before="0" w:after="0"/>
      <w:rPr>
        <w:rFonts w:ascii="Times New Roman" w:hAnsi="Times New Roman" w:eastAsia="Times New Roman" w:cs="Times New Roman"/>
        <w:sz w:val="10"/>
        <w:szCs w:val="24"/>
        <w:lang w:eastAsia="it-IT"/>
      </w:rPr>
    </w:pPr>
    <w:r>
      <w:rPr>
        <w:rFonts w:eastAsia="Times New Roman" w:cs="Times New Roman" w:ascii="Times New Roman" w:hAnsi="Times New Roman"/>
        <w:sz w:val="10"/>
        <w:szCs w:val="24"/>
        <w:lang w:eastAsia="it-IT"/>
      </w:rPr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"/>
        <w:rPr/>
      </w:pPr>
      <w:r>
        <w:rPr>
          <w:rFonts w:eastAsia="Arial" w:cs="Arial" w:ascii="Arial" w:hAnsi="Arial"/>
          <w:sz w:val="16"/>
          <w:szCs w:val="16"/>
        </w:rPr>
        <w:footnoteRef/>
        <w:tab/>
        <w:t xml:space="preserve"> </w:t>
      </w:r>
      <w:r>
        <w:rPr>
          <w:rFonts w:cs="Arial" w:ascii="Arial" w:hAnsi="Arial"/>
          <w:sz w:val="16"/>
          <w:szCs w:val="16"/>
        </w:rPr>
        <w:t>Le istanze, segnalazioni o comunicazioni producono effetti anche in caso di mancato rilascio della ricevuta;</w:t>
      </w:r>
    </w:p>
  </w:footnote>
  <w:footnote w:id="3">
    <w:p>
      <w:pPr>
        <w:pStyle w:val="Footnote"/>
        <w:rPr>
          <w:rFonts w:ascii="Arial" w:hAnsi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  <w:footnoteRef/>
        <w:tab/>
        <w:t xml:space="preserve"> </w:t>
      </w:r>
      <w:r>
        <w:rPr>
          <w:rFonts w:cs="Arial" w:ascii="Arial" w:hAnsi="Arial"/>
          <w:sz w:val="16"/>
          <w:szCs w:val="16"/>
          <w:lang w:eastAsia="ar-SA"/>
        </w:rPr>
        <w:t>Non è necessario autocertificarle nella comunicazione di cessazione dell’attività;</w:t>
      </w:r>
    </w:p>
  </w:footnote>
  <w:footnote w:id="4">
    <w:p>
      <w:pPr>
        <w:pStyle w:val="Footnote"/>
        <w:rPr>
          <w:rFonts w:ascii="Arial" w:hAnsi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  <w:footnoteRef/>
        <w:tab/>
        <w:t xml:space="preserve"> </w:t>
      </w:r>
      <w:r>
        <w:rPr>
          <w:rFonts w:cs="Arial" w:ascii="Arial" w:hAnsi="Arial"/>
          <w:sz w:val="16"/>
          <w:szCs w:val="16"/>
          <w:lang w:eastAsia="ar-SA"/>
        </w:rPr>
        <w:t>Non è necessario autocertificarli nella comunicazione di cessazione dell’attività;</w:t>
      </w:r>
    </w:p>
  </w:footnote>
  <w:footnote w:id="5">
    <w:p>
      <w:pPr>
        <w:pStyle w:val="Footnote"/>
        <w:rPr>
          <w:rFonts w:ascii="Arial" w:hAnsi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  <w:footnoteRef/>
        <w:tab/>
        <w:t xml:space="preserve"> </w:t>
      </w:r>
      <w:r>
        <w:rPr>
          <w:rFonts w:cs="Arial" w:ascii="Arial" w:hAnsi="Arial"/>
          <w:sz w:val="16"/>
          <w:szCs w:val="16"/>
          <w:lang w:eastAsia="ar-SA"/>
        </w:rPr>
        <w:t>Non è necessario autocertificarle nella comunicazione di cessazione dell’attività;</w:t>
      </w:r>
    </w:p>
  </w:footnote>
  <w:footnote w:id="6">
    <w:p>
      <w:pPr>
        <w:pStyle w:val="Footnote"/>
        <w:rPr>
          <w:rFonts w:ascii="Arial" w:hAnsi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  <w:footnoteRef/>
        <w:tab/>
        <w:t xml:space="preserve"> </w:t>
      </w:r>
      <w:r>
        <w:rPr>
          <w:rFonts w:cs="Arial" w:ascii="Arial" w:hAnsi="Arial"/>
          <w:sz w:val="16"/>
          <w:szCs w:val="16"/>
          <w:lang w:eastAsia="ar-SA"/>
        </w:rPr>
        <w:t>Non è necessario autocertificarli nella comunicazione di cessazione dell’attività</w:t>
      </w:r>
    </w:p>
  </w:footnote>
  <w:footnote w:id="7">
    <w:p>
      <w:pPr>
        <w:pStyle w:val="Footnote"/>
        <w:rPr/>
      </w:pPr>
      <w:r>
        <w:rPr>
          <w:rFonts w:eastAsia="Arial" w:cs="Arial" w:ascii="Arial" w:hAnsi="Arial"/>
          <w:sz w:val="16"/>
          <w:szCs w:val="16"/>
        </w:rPr>
        <w:footnoteRef/>
        <w:tab/>
        <w:t xml:space="preserve"> </w:t>
      </w:r>
      <w:r>
        <w:rPr>
          <w:rFonts w:cs="Arial" w:ascii="Arial" w:hAnsi="Arial"/>
          <w:sz w:val="16"/>
          <w:szCs w:val="16"/>
          <w:lang w:eastAsia="ar-SA"/>
        </w:rPr>
        <w:t>Non è necessario autocertificare nella comunicazione di cessazione dell’attività;</w:t>
      </w:r>
    </w:p>
  </w:footnote>
  <w:footnote w:id="8">
    <w:p>
      <w:pPr>
        <w:pStyle w:val="Footnote"/>
        <w:rPr/>
      </w:pPr>
      <w:r>
        <w:rPr>
          <w:sz w:val="16"/>
          <w:szCs w:val="16"/>
        </w:rPr>
        <w:footnoteRef/>
        <w:tab/>
        <w:t xml:space="preserve"> </w:t>
      </w:r>
      <w:r>
        <w:rPr>
          <w:rFonts w:cs="Arial" w:ascii="Arial" w:hAnsi="Arial"/>
          <w:sz w:val="16"/>
          <w:szCs w:val="16"/>
        </w:rPr>
        <w:t>In relazione alle specifiche tipologie di titolo abilitativo.</w:t>
      </w:r>
    </w:p>
  </w:footnote>
  <w:footnote w:id="9">
    <w:p>
      <w:pPr>
        <w:pStyle w:val="Normal"/>
        <w:spacing w:lineRule="auto" w:line="240" w:before="0" w:after="0"/>
        <w:jc w:val="both"/>
        <w:rPr/>
      </w:pPr>
      <w:r>
        <w:rPr>
          <w:rFonts w:eastAsia="Arial" w:cs="Arial" w:ascii="Arial" w:hAnsi="Arial"/>
          <w:sz w:val="16"/>
          <w:szCs w:val="16"/>
        </w:rPr>
        <w:footnoteRef/>
        <w:tab/>
        <w:t xml:space="preserve"> </w:t>
      </w:r>
      <w:r>
        <w:rPr>
          <w:rFonts w:cs="Arial" w:ascii="Arial" w:hAnsi="Arial"/>
          <w:sz w:val="16"/>
          <w:szCs w:val="16"/>
          <w:lang w:eastAsia="en-US"/>
        </w:rPr>
        <w:t xml:space="preserve">Art. 11 - </w:t>
      </w:r>
      <w:r>
        <w:rPr>
          <w:rFonts w:cs="Arial" w:ascii="Arial" w:hAnsi="Arial"/>
          <w:i/>
          <w:sz w:val="16"/>
          <w:szCs w:val="16"/>
          <w:lang w:eastAsia="en-US"/>
        </w:rPr>
        <w:t>Salve le condizioni particolari stabilite dalla legge nei singoli casi, le autorizzazioni di polizia debbono essere negate: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Arial" w:hAnsi="Arial" w:cs="Arial"/>
          <w:i/>
          <w:i/>
          <w:sz w:val="16"/>
          <w:szCs w:val="16"/>
          <w:lang w:eastAsia="en-US"/>
        </w:rPr>
      </w:pPr>
      <w:r>
        <w:rPr>
          <w:rFonts w:cs="Arial" w:ascii="Arial" w:hAnsi="Arial"/>
          <w:i/>
          <w:sz w:val="16"/>
          <w:szCs w:val="16"/>
          <w:lang w:eastAsia="en-US"/>
        </w:rPr>
        <w:tab/>
        <w:t>1 a chi ha riportato una condanna a pena restrittiva della libertà personale superiore a tre anni per delitto non colposo e non ha ottenuto la riabilitazione;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Arial" w:hAnsi="Arial" w:cs="Arial"/>
          <w:i/>
          <w:i/>
          <w:sz w:val="16"/>
          <w:szCs w:val="16"/>
          <w:lang w:eastAsia="en-US"/>
        </w:rPr>
      </w:pPr>
      <w:r>
        <w:rPr>
          <w:rFonts w:cs="Arial" w:ascii="Arial" w:hAnsi="Arial"/>
          <w:i/>
          <w:sz w:val="16"/>
          <w:szCs w:val="16"/>
          <w:lang w:eastAsia="en-US"/>
        </w:rPr>
        <w:tab/>
        <w:t xml:space="preserve">2 a chi è sottoposto all'ammonizione o a misura di sicurezza personale o è stato dichiarato delinquente abituale, professionale o per tendenza. 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Arial" w:hAnsi="Arial" w:cs="Arial"/>
          <w:i/>
          <w:i/>
          <w:sz w:val="16"/>
          <w:szCs w:val="16"/>
          <w:lang w:eastAsia="en-US"/>
        </w:rPr>
      </w:pPr>
      <w:r>
        <w:rPr>
          <w:rFonts w:cs="Arial" w:ascii="Arial" w:hAnsi="Arial"/>
          <w:i/>
          <w:sz w:val="16"/>
          <w:szCs w:val="16"/>
          <w:lang w:eastAsia="en-US"/>
        </w:rPr>
        <w:tab/>
        <w:t xml:space="preserve">Le autorizzazioni di polizia possono essere negate a chi ha riportato condanna per delitti contro la personalità dello stato o contro l'ordine pubblico, ovvero per delitti contro le persone commessi con violenza, o per furto, rapina, estorsione, sequestro di persona a scopo di rapina o di estorsione, o per violenza o resistenza all'autorità, e a chi non può provare la sua buona condotta. 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Arial" w:hAnsi="Arial" w:cs="Arial"/>
          <w:i/>
          <w:i/>
          <w:sz w:val="16"/>
          <w:szCs w:val="16"/>
          <w:lang w:eastAsia="en-US"/>
        </w:rPr>
      </w:pPr>
      <w:r>
        <w:rPr>
          <w:rFonts w:cs="Arial" w:ascii="Arial" w:hAnsi="Arial"/>
          <w:i/>
          <w:sz w:val="16"/>
          <w:szCs w:val="16"/>
          <w:lang w:eastAsia="en-US"/>
        </w:rPr>
        <w:tab/>
        <w:t>Le autorizzazioni devono essere revocate quando nella persona autorizzata vengono a mancare, in tutto o in parte, le condizioni alle quali sono subordinate, e possono essere revocate quando sopraggiungono o vengono a risultare circostanze che avrebbero imposto o consentito il diniego dell’autorizzazione;</w:t>
      </w:r>
    </w:p>
  </w:footnote>
  <w:footnote w:id="10">
    <w:p>
      <w:pPr>
        <w:pStyle w:val="Normal"/>
        <w:suppressAutoHyphens w:val="false"/>
        <w:autoSpaceDE w:val="false"/>
        <w:spacing w:lineRule="auto" w:line="240" w:before="0" w:after="0"/>
        <w:jc w:val="both"/>
        <w:rPr>
          <w:rFonts w:ascii="Arial" w:hAnsi="Arial" w:eastAsia="Times New Roman" w:cs="Arial"/>
          <w:i/>
          <w:i/>
          <w:sz w:val="16"/>
          <w:szCs w:val="16"/>
          <w:lang w:eastAsia="it-IT"/>
        </w:rPr>
      </w:pPr>
      <w:r>
        <w:rPr>
          <w:rFonts w:eastAsia="Arial" w:cs="Arial" w:ascii="Arial" w:hAnsi="Arial"/>
          <w:sz w:val="16"/>
          <w:szCs w:val="16"/>
        </w:rPr>
        <w:footnoteRef/>
        <w:tab/>
        <w:t xml:space="preserve"> </w:t>
      </w:r>
      <w:r>
        <w:rPr>
          <w:rFonts w:eastAsia="Times New Roman" w:cs="Arial" w:ascii="Arial" w:hAnsi="Arial"/>
          <w:i/>
          <w:sz w:val="16"/>
          <w:szCs w:val="16"/>
          <w:lang w:eastAsia="it-IT"/>
        </w:rPr>
        <w:t>Oltre a quanto è preveduto dall'</w:t>
      </w:r>
      <w:r>
        <w:rPr>
          <w:rFonts w:eastAsia="Times New Roman" w:cs="Arial" w:ascii="Arial" w:hAnsi="Arial"/>
          <w:i/>
          <w:iCs/>
          <w:sz w:val="16"/>
          <w:szCs w:val="16"/>
          <w:lang w:eastAsia="it-IT"/>
        </w:rPr>
        <w:t xml:space="preserve">art. 11, </w:t>
      </w:r>
      <w:r>
        <w:rPr>
          <w:rFonts w:eastAsia="Times New Roman" w:cs="Arial" w:ascii="Arial" w:hAnsi="Arial"/>
          <w:i/>
          <w:sz w:val="16"/>
          <w:szCs w:val="16"/>
          <w:lang w:eastAsia="it-IT"/>
        </w:rPr>
        <w:t>la licenza di esercizio pubblico e l'autorizzazione di cui all'art. 89 non possono essere date a chi sia stato condannato per reati contro la moralità pubblica e il buon costume, o contro la sanità pubblica o per giuochi d'azzardo, o</w:t>
      </w:r>
      <w:r>
        <w:rPr>
          <w:rFonts w:eastAsia="Times New Roman" w:cs="Arial" w:ascii="Arial" w:hAnsi="Arial"/>
          <w:sz w:val="16"/>
          <w:szCs w:val="16"/>
          <w:lang w:eastAsia="it-IT"/>
        </w:rPr>
        <w:t xml:space="preserve"> </w:t>
      </w:r>
      <w:r>
        <w:rPr>
          <w:rFonts w:eastAsia="Times New Roman" w:cs="Arial" w:ascii="Arial" w:hAnsi="Arial"/>
          <w:i/>
          <w:sz w:val="16"/>
          <w:szCs w:val="16"/>
          <w:lang w:eastAsia="it-IT"/>
        </w:rPr>
        <w:t>per delitti commessi in istato di ubriachezza o per contravvenzioni concernenti la prevenzione dell'alcoolismo, o per infrazioni alla legge sul lotto, o per abuso di sostanze stupefacenti.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0"/>
        <w:szCs w:val="20"/>
        <w:rFonts w:cs="Symbol"/>
        <w:lang w:eastAsia="it-I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0"/>
        <w:szCs w:val="20"/>
        <w:rFonts w:cs="Symbol"/>
        <w:lang w:eastAsia="it-I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0"/>
        <w:szCs w:val="20"/>
        <w:rFonts w:cs="Symbol"/>
        <w:lang w:eastAsia="it-IT"/>
      </w:rPr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  <w:szCs w:val="20"/>
        <w:rFonts w:cs="Symbol"/>
        <w:lang w:eastAsia="it-I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0"/>
        <w:szCs w:val="20"/>
        <w:rFonts w:cs="Symbol"/>
        <w:lang w:eastAsia="it-I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compat>
    <w:doNotExpandShiftReturn/>
  </w:compat>
  <w:autoHyphenation w:val="false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</w:pPr>
    <w:rPr>
      <w:rFonts w:ascii="Calibri" w:hAnsi="Calibri" w:eastAsia="Calibri" w:cs="Calibri"/>
      <w:color w:val="auto"/>
      <w:sz w:val="22"/>
      <w:szCs w:val="22"/>
      <w:lang w:val="it-IT" w:bidi="ar-SA" w:eastAsia="zh-CN"/>
    </w:rPr>
  </w:style>
  <w:style w:type="character" w:styleId="WW8Num1z0">
    <w:name w:val="WW8Num1z0"/>
    <w:qFormat/>
    <w:rPr>
      <w:rFonts w:ascii="Symbol" w:hAnsi="Symbol" w:cs="Symbol"/>
      <w:sz w:val="20"/>
    </w:rPr>
  </w:style>
  <w:style w:type="character" w:styleId="WW8Num1z1">
    <w:name w:val="WW8Num1z1"/>
    <w:qFormat/>
    <w:rPr>
      <w:rFonts w:ascii="Courier New" w:hAnsi="Courier New" w:cs="Courier New"/>
      <w:sz w:val="20"/>
    </w:rPr>
  </w:style>
  <w:style w:type="character" w:styleId="WW8Num1z2">
    <w:name w:val="WW8Num1z2"/>
    <w:qFormat/>
    <w:rPr>
      <w:rFonts w:ascii="Wingdings" w:hAnsi="Wingdings" w:cs="Wingdings"/>
      <w:sz w:val="20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Symbol" w:hAnsi="Symbol" w:eastAsia="Times New Roman" w:cs="Symbol"/>
      <w:sz w:val="20"/>
      <w:szCs w:val="20"/>
      <w:lang w:eastAsia="it-IT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  <w:sz w:val="20"/>
    </w:rPr>
  </w:style>
  <w:style w:type="character" w:styleId="WW8Num4z1">
    <w:name w:val="WW8Num4z1"/>
    <w:qFormat/>
    <w:rPr>
      <w:rFonts w:ascii="Courier New" w:hAnsi="Courier New" w:cs="Courier New"/>
      <w:sz w:val="20"/>
    </w:rPr>
  </w:style>
  <w:style w:type="character" w:styleId="WW8Num4z2">
    <w:name w:val="WW8Num4z2"/>
    <w:qFormat/>
    <w:rPr>
      <w:rFonts w:ascii="Wingdings" w:hAnsi="Wingdings" w:cs="Wingdings"/>
      <w:sz w:val="20"/>
    </w:rPr>
  </w:style>
  <w:style w:type="character" w:styleId="WW8Num5z0">
    <w:name w:val="WW8Num5z0"/>
    <w:qFormat/>
    <w:rPr>
      <w:rFonts w:ascii="Arial" w:hAnsi="Arial" w:eastAsia="Times New Roman" w:cs="Arial"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  <w:sz w:val="24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eastAsia="Times New Roman" w:cs="Symbol"/>
      <w:sz w:val="20"/>
      <w:szCs w:val="20"/>
      <w:lang w:eastAsia="it-IT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eastAsia="Times New Roman" w:cs="Symbol"/>
      <w:sz w:val="20"/>
      <w:szCs w:val="20"/>
      <w:lang w:eastAsia="it-IT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  <w:sz w:val="20"/>
    </w:rPr>
  </w:style>
  <w:style w:type="character" w:styleId="WW8Num12z1">
    <w:name w:val="WW8Num12z1"/>
    <w:qFormat/>
    <w:rPr>
      <w:rFonts w:ascii="Courier New" w:hAnsi="Courier New" w:cs="Courier New"/>
      <w:sz w:val="20"/>
    </w:rPr>
  </w:style>
  <w:style w:type="character" w:styleId="WW8Num12z2">
    <w:name w:val="WW8Num12z2"/>
    <w:qFormat/>
    <w:rPr>
      <w:rFonts w:ascii="Wingdings" w:hAnsi="Wingdings" w:cs="Wingdings"/>
      <w:sz w:val="20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0">
    <w:name w:val="WW8Num14z0"/>
    <w:qFormat/>
    <w:rPr>
      <w:rFonts w:ascii="Symbol" w:hAnsi="Symbol" w:eastAsia="Times New Roman" w:cs="Symbol"/>
      <w:sz w:val="20"/>
      <w:szCs w:val="20"/>
      <w:lang w:eastAsia="it-IT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5z0">
    <w:name w:val="WW8Num15z0"/>
    <w:qFormat/>
    <w:rPr>
      <w:rFonts w:ascii="Symbol" w:hAnsi="Symbol" w:cs="Symbol"/>
      <w:color w:val="000000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>
      <w:rFonts w:ascii="Arial" w:hAnsi="Arial" w:eastAsia="Times New Roman" w:cs="Aria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9z0">
    <w:name w:val="WW8Num19z0"/>
    <w:qFormat/>
    <w:rPr>
      <w:rFonts w:ascii="Symbol" w:hAnsi="Symbol" w:cs="Symbol"/>
      <w:sz w:val="20"/>
    </w:rPr>
  </w:style>
  <w:style w:type="character" w:styleId="WW8Num19z1">
    <w:name w:val="WW8Num19z1"/>
    <w:qFormat/>
    <w:rPr>
      <w:rFonts w:ascii="Courier New" w:hAnsi="Courier New" w:cs="Courier New"/>
      <w:sz w:val="20"/>
    </w:rPr>
  </w:style>
  <w:style w:type="character" w:styleId="WW8Num19z2">
    <w:name w:val="WW8Num19z2"/>
    <w:qFormat/>
    <w:rPr>
      <w:rFonts w:ascii="Wingdings" w:hAnsi="Wingdings" w:cs="Wingdings"/>
      <w:sz w:val="20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1z0">
    <w:name w:val="WW8Num21z0"/>
    <w:qFormat/>
    <w:rPr>
      <w:rFonts w:ascii="Wingdings" w:hAnsi="Wingdings" w:cs="Wingdings"/>
      <w:b w:val="false"/>
      <w:i w:val="false"/>
      <w:color w:val="000000"/>
      <w:sz w:val="24"/>
      <w:szCs w:val="24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>
      <w:rFonts w:ascii="Symbol" w:hAnsi="Symbol" w:eastAsia="Times New Roman" w:cs="Symbol"/>
      <w:sz w:val="20"/>
      <w:szCs w:val="20"/>
      <w:lang w:eastAsia="it-IT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3z0">
    <w:name w:val="WW8Num23z0"/>
    <w:qFormat/>
    <w:rPr>
      <w:b/>
      <w:sz w:val="18"/>
      <w:szCs w:val="18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Carpredefinitoparagrafo">
    <w:name w:val="Car.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Caratterepredefinitoparagrafo">
    <w:name w:val="Carattere predefinito paragrafo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Carpredefinitoparagrafo1">
    <w:name w:val="Car. predefinito paragrafo1"/>
    <w:qFormat/>
    <w:rPr/>
  </w:style>
  <w:style w:type="character" w:styleId="TestonotaapidipaginaCarattere">
    <w:name w:val="Testo nota a piè di pagina Carattere"/>
    <w:basedOn w:val="Carpredefinitoparagrafo"/>
    <w:qFormat/>
    <w:rPr/>
  </w:style>
  <w:style w:type="character" w:styleId="FootnoteCharacters">
    <w:name w:val="Footnote Characters"/>
    <w:qFormat/>
    <w:rPr>
      <w:vertAlign w:val="superscript"/>
    </w:rPr>
  </w:style>
  <w:style w:type="character" w:styleId="PidipaginaCarattere">
    <w:name w:val="Piè di pagina Carattere"/>
    <w:qFormat/>
    <w:rPr>
      <w:rFonts w:ascii="Calibri" w:hAnsi="Calibri" w:eastAsia="Calibri" w:cs="Calibri"/>
      <w:sz w:val="22"/>
      <w:szCs w:val="22"/>
    </w:rPr>
  </w:style>
  <w:style w:type="character" w:styleId="InternetLink">
    <w:name w:val="Internet Link"/>
    <w:rPr>
      <w:strike w:val="false"/>
      <w:dstrike w:val="false"/>
      <w:color w:val="0000FF"/>
      <w:u w:val="none"/>
    </w:rPr>
  </w:style>
  <w:style w:type="character" w:styleId="FootnoteAnchor">
    <w:name w:val="Footnote Anchor"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Intestazione1">
    <w:name w:val="Intestazione1"/>
    <w:basedOn w:val="Normal"/>
    <w:next w:val="TextBody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Header">
    <w:name w:val="Header"/>
    <w:basedOn w:val="Normal"/>
    <w:next w:val="TextBody"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Footnote">
    <w:name w:val="Footnote Text"/>
    <w:basedOn w:val="Normal"/>
    <w:pPr>
      <w:suppressAutoHyphens w:val="false"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NormaleWeb">
    <w:name w:val="Normale (Web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uppressAutoHyphens w:val="false"/>
      <w:spacing w:before="0" w:after="200"/>
      <w:ind w:left="720" w:hanging="0"/>
      <w:contextualSpacing/>
    </w:pPr>
    <w:rPr>
      <w:rFonts w:cs="Times New Roma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2017-10-02T10:11:00Z</dcterms:created>
  <dc:creator>Grafiche E.Gaspari S.r.l.</dc:creator>
  <dc:description/>
  <dc:language>en-US</dc:language>
  <cp:lastModifiedBy>Andrea Piredda</cp:lastModifiedBy>
  <cp:lastPrinted>2112-12-31T23:00:00Z</cp:lastPrinted>
  <dcterms:modified xsi:type="dcterms:W3CDTF">2017-10-02T10:36:00Z</dcterms:modified>
  <cp:revision>5</cp:revision>
  <dc:subject/>
  <dc:title/>
</cp:coreProperties>
</file>